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17F0" w:rsidRDefault="00C317F0" w:rsidP="00C317F0">
      <w:pPr>
        <w:rPr>
          <w:b/>
        </w:rPr>
      </w:pPr>
      <w:r>
        <w:rPr>
          <w:b/>
        </w:rPr>
        <w:t>U</w:t>
      </w:r>
      <w:r w:rsidRPr="00C317F0">
        <w:rPr>
          <w:b/>
        </w:rPr>
        <w:t>sing PLR to create confidence intervals for an error matrix</w:t>
      </w:r>
      <w:r>
        <w:rPr>
          <w:b/>
        </w:rPr>
        <w:t xml:space="preserve"> exercise</w:t>
      </w:r>
    </w:p>
    <w:p w:rsidR="00F66599" w:rsidRDefault="00C317F0" w:rsidP="00C317F0">
      <w:r>
        <w:rPr>
          <w:b/>
        </w:rPr>
        <w:tab/>
      </w:r>
      <w:r>
        <w:t>In this exercise we will us</w:t>
      </w:r>
      <w:r w:rsidR="005F77A8">
        <w:t xml:space="preserve">e PLR to generate probabilistic </w:t>
      </w:r>
      <w:r>
        <w:t>confidence intervals for individual classes and overall map accuracy. To do this we wi</w:t>
      </w:r>
      <w:r w:rsidR="005F77A8">
        <w:t>ll be using the results</w:t>
      </w:r>
      <w:r>
        <w:t xml:space="preserve"> from exercise 3. If you have not finished exercise 3 please do so before starting this exercise (</w:t>
      </w:r>
      <w:hyperlink r:id="rId9" w:history="1">
        <w:r w:rsidRPr="00C317F0">
          <w:rPr>
            <w:rStyle w:val="Hyperlink"/>
          </w:rPr>
          <w:t>link to exercise 3</w:t>
        </w:r>
      </w:hyperlink>
      <w:r w:rsidR="00F66599">
        <w:t>).</w:t>
      </w:r>
    </w:p>
    <w:p w:rsidR="00C317F0" w:rsidRDefault="00C317F0" w:rsidP="00F66599">
      <w:pPr>
        <w:ind w:firstLine="720"/>
      </w:pPr>
      <w:r>
        <w:t>To begin the exercise, please open the “</w:t>
      </w:r>
      <w:proofErr w:type="spellStart"/>
      <w:r>
        <w:t>AccuacyAssessment.mxd</w:t>
      </w:r>
      <w:proofErr w:type="spellEnd"/>
      <w:r>
        <w:t>” map document (</w:t>
      </w:r>
      <w:hyperlink r:id="rId10" w:history="1">
        <w:r w:rsidRPr="00613D07">
          <w:rPr>
            <w:rStyle w:val="Hyperlink"/>
          </w:rPr>
          <w:t>link to map document</w:t>
        </w:r>
      </w:hyperlink>
      <w:r>
        <w:t xml:space="preserve">). If the </w:t>
      </w:r>
      <w:r w:rsidR="006F53B6">
        <w:t>“</w:t>
      </w:r>
      <w:r>
        <w:t>Training</w:t>
      </w:r>
      <w:r w:rsidR="006F53B6">
        <w:t>”</w:t>
      </w:r>
      <w:r>
        <w:t xml:space="preserve"> and </w:t>
      </w:r>
      <w:r w:rsidR="006F53B6">
        <w:t>“</w:t>
      </w:r>
      <w:r>
        <w:t>Validation</w:t>
      </w:r>
      <w:r w:rsidR="006F53B6">
        <w:t>”</w:t>
      </w:r>
      <w:r>
        <w:t xml:space="preserve"> point feature classes are not already loaded into the map please add them at this time</w:t>
      </w:r>
      <w:r>
        <w:rPr>
          <w:rStyle w:val="FootnoteReference"/>
        </w:rPr>
        <w:footnoteReference w:id="1"/>
      </w:r>
      <w:r>
        <w:t xml:space="preserve">. </w:t>
      </w:r>
      <w:r w:rsidR="006F53B6">
        <w:t>“</w:t>
      </w:r>
      <w:r>
        <w:t>Training</w:t>
      </w:r>
      <w:r w:rsidR="006F53B6">
        <w:t>”</w:t>
      </w:r>
      <w:r>
        <w:t xml:space="preserve"> and </w:t>
      </w:r>
      <w:r w:rsidR="006F53B6">
        <w:t>“</w:t>
      </w:r>
      <w:r>
        <w:t>Validation</w:t>
      </w:r>
      <w:r w:rsidR="006F53B6">
        <w:t>”</w:t>
      </w:r>
      <w:r>
        <w:t xml:space="preserve"> feature classes can be found in the </w:t>
      </w:r>
      <w:r w:rsidR="006F53B6">
        <w:t>“</w:t>
      </w:r>
      <w:proofErr w:type="spellStart"/>
      <w:r>
        <w:t>AccuracyAssessment.gdb</w:t>
      </w:r>
      <w:proofErr w:type="spellEnd"/>
      <w:r w:rsidR="006F53B6">
        <w:t>”</w:t>
      </w:r>
      <w:r>
        <w:t xml:space="preserve"> file </w:t>
      </w:r>
      <w:proofErr w:type="spellStart"/>
      <w:r>
        <w:t>geodatabase</w:t>
      </w:r>
      <w:proofErr w:type="spellEnd"/>
      <w:r>
        <w:t xml:space="preserve"> and are named “Training” and “Validation”, respectively. </w:t>
      </w:r>
      <w:r w:rsidR="00775D3F">
        <w:t>Next, let’s open each of the SAS outputs files (</w:t>
      </w:r>
      <w:proofErr w:type="spellStart"/>
      <w:r w:rsidR="00775D3F">
        <w:t>prc.lst</w:t>
      </w:r>
      <w:proofErr w:type="spellEnd"/>
      <w:r w:rsidR="00775D3F">
        <w:t>) generated in exercise 3. The accuracy assessment output associated with the training dataset should be located within the folder SASOUTPUT\ACCURACYASSESSMENT</w:t>
      </w:r>
      <w:r w:rsidR="00F26286">
        <w:t xml:space="preserve"> </w:t>
      </w:r>
      <w:r w:rsidR="00775D3F">
        <w:t xml:space="preserve">while the results from the </w:t>
      </w:r>
      <w:r w:rsidR="006F53B6">
        <w:t>“V</w:t>
      </w:r>
      <w:r w:rsidR="00775D3F">
        <w:t>alidation</w:t>
      </w:r>
      <w:r w:rsidR="006F53B6">
        <w:t>”</w:t>
      </w:r>
      <w:r w:rsidR="00775D3F">
        <w:t xml:space="preserve"> dataset should be located within the folder SASOUTPUT\</w:t>
      </w:r>
      <w:proofErr w:type="spellStart"/>
      <w:r w:rsidR="00775D3F">
        <w:t>ValidationAA</w:t>
      </w:r>
      <w:proofErr w:type="spellEnd"/>
      <w:r w:rsidR="00F26286">
        <w:rPr>
          <w:rStyle w:val="FootnoteReference"/>
        </w:rPr>
        <w:footnoteReference w:id="2"/>
      </w:r>
      <w:r w:rsidR="00775D3F">
        <w:t>.</w:t>
      </w:r>
      <w:r w:rsidR="00F66599">
        <w:t xml:space="preserve"> After opening each resp</w:t>
      </w:r>
      <w:r w:rsidR="00F26286">
        <w:t>ective result, scroll down to “The Logistic Procedure” section of each output</w:t>
      </w:r>
      <w:r w:rsidR="00223C6C">
        <w:t xml:space="preserve"> (Validation and Training datasets displayed left to right below)</w:t>
      </w:r>
      <w:r w:rsidR="00F26286">
        <w:t xml:space="preserve">. </w:t>
      </w:r>
      <w:r w:rsidR="00F66599">
        <w:t xml:space="preserve"> </w:t>
      </w:r>
    </w:p>
    <w:p w:rsidR="00F37213" w:rsidRDefault="00F26286">
      <w:r>
        <w:rPr>
          <w:noProof/>
        </w:rPr>
        <w:drawing>
          <wp:inline distT="0" distB="0" distL="0" distR="0" wp14:anchorId="4E1DAFDC" wp14:editId="7F752C9A">
            <wp:extent cx="5810400" cy="274781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968" t="10165" r="55549" b="24031"/>
                    <a:stretch/>
                  </pic:blipFill>
                  <pic:spPr bwMode="auto">
                    <a:xfrm>
                      <a:off x="0" y="0"/>
                      <a:ext cx="5810400" cy="2747813"/>
                    </a:xfrm>
                    <a:prstGeom prst="rect">
                      <a:avLst/>
                    </a:prstGeom>
                    <a:ln>
                      <a:noFill/>
                    </a:ln>
                    <a:extLst>
                      <a:ext uri="{53640926-AAD7-44D8-BBD7-CCE9431645EC}">
                        <a14:shadowObscured xmlns:a14="http://schemas.microsoft.com/office/drawing/2010/main"/>
                      </a:ext>
                    </a:extLst>
                  </pic:spPr>
                </pic:pic>
              </a:graphicData>
            </a:graphic>
          </wp:inline>
        </w:drawing>
      </w:r>
    </w:p>
    <w:p w:rsidR="00B712B3" w:rsidRDefault="00B712B3">
      <w:r>
        <w:t xml:space="preserve">The first section of the logistic procedure </w:t>
      </w:r>
      <w:r w:rsidR="00D64B9F">
        <w:t xml:space="preserve">output </w:t>
      </w:r>
      <w:r>
        <w:t xml:space="preserve">describes the data used for the analysis and how the </w:t>
      </w:r>
      <w:proofErr w:type="spellStart"/>
      <w:r>
        <w:t>logits</w:t>
      </w:r>
      <w:proofErr w:type="spellEnd"/>
      <w:r>
        <w:t xml:space="preserve"> are organized (note the total weight column). After reviewing the </w:t>
      </w:r>
      <w:r w:rsidR="006F53B6">
        <w:t>initial</w:t>
      </w:r>
      <w:r>
        <w:t xml:space="preserve"> model setup, scroll down to the section on model fit statistics.</w:t>
      </w:r>
    </w:p>
    <w:p w:rsidR="00F26286" w:rsidRDefault="00B712B3">
      <w:r>
        <w:rPr>
          <w:noProof/>
        </w:rPr>
        <w:lastRenderedPageBreak/>
        <mc:AlternateContent>
          <mc:Choice Requires="wps">
            <w:drawing>
              <wp:anchor distT="0" distB="0" distL="114300" distR="114300" simplePos="0" relativeHeight="251660288" behindDoc="0" locked="0" layoutInCell="1" allowOverlap="1">
                <wp:simplePos x="0" y="0"/>
                <wp:positionH relativeFrom="column">
                  <wp:posOffset>3650400</wp:posOffset>
                </wp:positionH>
                <wp:positionV relativeFrom="paragraph">
                  <wp:posOffset>1368000</wp:posOffset>
                </wp:positionV>
                <wp:extent cx="1728000" cy="93345"/>
                <wp:effectExtent l="0" t="0" r="24765" b="20955"/>
                <wp:wrapNone/>
                <wp:docPr id="4" name="Rectangle 4"/>
                <wp:cNvGraphicFramePr/>
                <a:graphic xmlns:a="http://schemas.openxmlformats.org/drawingml/2006/main">
                  <a:graphicData uri="http://schemas.microsoft.com/office/word/2010/wordprocessingShape">
                    <wps:wsp>
                      <wps:cNvSpPr/>
                      <wps:spPr>
                        <a:xfrm>
                          <a:off x="0" y="0"/>
                          <a:ext cx="1728000" cy="93345"/>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 o:spid="_x0000_s1026" style="position:absolute;margin-left:287.45pt;margin-top:107.7pt;width:136.05pt;height:7.3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zAflwIAAIQFAAAOAAAAZHJzL2Uyb0RvYy54bWysVMFu2zAMvQ/YPwi6L3bSdG2NOkWQIsOA&#10;oi3aDj0rshQbkEVNUuJkXz9Kst2gK3YYdrFFkXwkn0he3xxaRfbCugZ0SaeTnBKhOVSN3pb0x8v6&#10;yyUlzjNdMQValPQoHL1ZfP503ZlCzKAGVQlLEES7ojMlrb03RZY5XouWuQkYoVEpwbbMo2i3WWVZ&#10;h+itymZ5/jXrwFbGAhfO4e1tUtJFxJdScP8gpROeqJJibj5+bfxuwjdbXLNia5mpG96nwf4hi5Y1&#10;GoOOULfMM7KzzR9QbcMtOJB+wqHNQMqGi1gDVjPN31XzXDMjYi1IjjMjTe7/wfL7/aMlTVXSOSWa&#10;tfhET0ga01slyDzQ0xlXoNWzebS95PAYaj1I24Y/VkEOkdLjSKk4eMLxcnoxu8xzZJ6j7ursbH4e&#10;MLM3Z2Od/yagJeFQUovBI5Fsf+d8Mh1MQiwN60YpvGeF0uHrQDVVuIuC3W5WypI9C8+dX+Sr+MIY&#10;7sQMpeCahcJSKfHkj0ok2CchkRFMfhYzib0oRljGudB+mlQ1q0SKdo5VjsFC9waPWKnSCBiQJWY5&#10;YvcAg2UCGbBT3b19cBWxlUfn/G+JJefRI0YG7UfnttFgPwJQWFUfOdkPJCVqAksbqI7YLxbSIDnD&#10;1w2+2x1z/pFZnBx8adwG/gE/UkFXUuhPlNRgf310H+yxoVFLSYeTWFL3c8esoER919jqV9P5PIxu&#10;FObnFzMU7Klmc6rRu3YF+PpT3DuGx2Ow92o4SgvtKy6NZYiKKqY5xi4p93YQVj5tCFw7XCyX0QzH&#10;1TB/p58ND+CB1dCXL4dXZk3fvB67/h6GqWXFux5OtsFTw3LnQTaxwd947fnGUY+N06+lsEtO5Wj1&#10;tjwXvwEAAP//AwBQSwMEFAAGAAgAAAAhAEy7/37dAAAACwEAAA8AAABkcnMvZG93bnJldi54bWxM&#10;j8FOwzAMhu9IvENkJG4s7ejYWppOgAR3NoTEzW1MW9E4XZNt5e0xJzja/vT7+8vt7AZ1oin0ng2k&#10;iwQUceNtz62Bt/3zzQZUiMgWB89k4JsCbKvLixIL68/8SqddbJWEcCjQQBfjWGgdmo4choUfieX2&#10;6SeHUcap1XbCs4S7QS+T5E477Fk+dDjSU0fN1+7oDLj88dDnFD/ea+zDvH9Bx93BmOur+eEeVKQ5&#10;/sHwqy/qUIlT7Y9sgxoMrNZZLqiBZbrKQAmxydbSrpbNbZKCrkr9v0P1AwAA//8DAFBLAQItABQA&#10;BgAIAAAAIQC2gziS/gAAAOEBAAATAAAAAAAAAAAAAAAAAAAAAABbQ29udGVudF9UeXBlc10ueG1s&#10;UEsBAi0AFAAGAAgAAAAhADj9If/WAAAAlAEAAAsAAAAAAAAAAAAAAAAALwEAAF9yZWxzLy5yZWxz&#10;UEsBAi0AFAAGAAgAAAAhAK2DMB+XAgAAhAUAAA4AAAAAAAAAAAAAAAAALgIAAGRycy9lMm9Eb2Mu&#10;eG1sUEsBAi0AFAAGAAgAAAAhAEy7/37dAAAACwEAAA8AAAAAAAAAAAAAAAAA8QQAAGRycy9kb3du&#10;cmV2LnhtbFBLBQYAAAAABAAEAPMAAAD7BQAAAAA=&#10;" filled="f" strokecolor="#0070c0" strokeweight="2pt"/>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576000</wp:posOffset>
                </wp:positionH>
                <wp:positionV relativeFrom="paragraph">
                  <wp:posOffset>1368000</wp:posOffset>
                </wp:positionV>
                <wp:extent cx="1821600" cy="93600"/>
                <wp:effectExtent l="0" t="0" r="26670" b="20955"/>
                <wp:wrapNone/>
                <wp:docPr id="3" name="Rectangle 3"/>
                <wp:cNvGraphicFramePr/>
                <a:graphic xmlns:a="http://schemas.openxmlformats.org/drawingml/2006/main">
                  <a:graphicData uri="http://schemas.microsoft.com/office/word/2010/wordprocessingShape">
                    <wps:wsp>
                      <wps:cNvSpPr/>
                      <wps:spPr>
                        <a:xfrm>
                          <a:off x="0" y="0"/>
                          <a:ext cx="1821600" cy="9360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 o:spid="_x0000_s1026" style="position:absolute;margin-left:45.35pt;margin-top:107.7pt;width:143.45pt;height:7.3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F1mkQIAAIQFAAAOAAAAZHJzL2Uyb0RvYy54bWysVE1v2zAMvQ/YfxB0X22n30GdIkjRYUDR&#10;Fm2HnhVZig3IokYpcbJfP0p23KAtdhjmgyyK5CP5RPHqetsatlHoG7AlL45yzpSVUDV2VfKfL7ff&#10;LjjzQdhKGLCq5Dvl+fXs65erzk3VBGowlUJGINZPO1fyOgQ3zTIva9UKfwROWVJqwFYEEnGVVSg6&#10;Qm9NNsnzs6wDrByCVN7T6U2v5LOEr7WS4UFrrwIzJafcQloxrcu4ZrMrMV2hcHUjhzTEP2TRisZS&#10;0BHqRgTB1th8gGobieBBhyMJbQZaN1KlGqiaIn9XzXMtnEq1EDnejTT5/wcr7zePyJqq5MecWdHS&#10;FT0RacKujGLHkZ7O+SlZPbtHHCRP21jrVmMb/1QF2yZKdyOlahuYpMPiYlKc5cS8JN3lcdwSSvbm&#10;7NCH7wpaFjclRwqeiBSbOx96071JjGXhtjGGzsXU2Lh6ME0Vz5KAq+XCINuIeN35eb7Yhzswo+DR&#10;NYuF9aWkXdgZ1cM+KU2MUPKTlEnqRTXCCimVDUWvqkWl+minOX1DbaNHqtRYAozImrIcsQeA2Ocf&#10;sfu6B/voqlIrj8753xLrnUePFBlsGJ3bxgJ+BmCoqiFyb78nqacmsrSEakf9gtA/JO/kbUP3did8&#10;eBRIL4dumqZBeKBFG+hKDsOOsxrw92fn0Z4amrScdfQSS+5/rQUqzswPS61+WZycxKebhJPT8wkJ&#10;eKhZHmrsul0A3X5Bc8fJtI32wey3GqF9paExj1FJJayk2CWXAffCIvQTgsaOVPN5MqPn6kS4s89O&#10;RvDIauzLl+2rQDc0b6Cuv4f9qxXTdz3c20ZPC/N1AN2kBn/jdeCbnnpqnGEsxVlyKCert+E5+wMA&#10;AP//AwBQSwMEFAAGAAgAAAAhABBfJardAAAACgEAAA8AAABkcnMvZG93bnJldi54bWxMj8FOwzAM&#10;hu9IvENkJG4s7QYrLU0nQII7G0Li5jamiWicrsm28vaE0zja/vT7++vN7AZxpClYzwryRQaCuPPa&#10;cq/gffdycw8iRGSNg2dS8EMBNs3lRY2V9id+o+M29iKFcKhQgYlxrKQMnSGHYeFH4nT78pPDmMap&#10;l3rCUwp3g1xm2Vo6tJw+GBzp2VD3vT04Ba582tuS4udHizbMu1d0bPZKXV/Njw8gIs3xDMOfflKH&#10;Jjm1/sA6iEFBmRWJVLDM725BJGBVFGsQbdqsshxkU8v/FZpfAAAA//8DAFBLAQItABQABgAIAAAA&#10;IQC2gziS/gAAAOEBAAATAAAAAAAAAAAAAAAAAAAAAABbQ29udGVudF9UeXBlc10ueG1sUEsBAi0A&#10;FAAGAAgAAAAhADj9If/WAAAAlAEAAAsAAAAAAAAAAAAAAAAALwEAAF9yZWxzLy5yZWxzUEsBAi0A&#10;FAAGAAgAAAAhAEPQXWaRAgAAhAUAAA4AAAAAAAAAAAAAAAAALgIAAGRycy9lMm9Eb2MueG1sUEsB&#10;Ai0AFAAGAAgAAAAhABBfJardAAAACgEAAA8AAAAAAAAAAAAAAAAA6wQAAGRycy9kb3ducmV2Lnht&#10;bFBLBQYAAAAABAAEAPMAAAD1BQAAAAA=&#10;" filled="f" strokecolor="#0070c0" strokeweight="2pt"/>
            </w:pict>
          </mc:Fallback>
        </mc:AlternateContent>
      </w:r>
      <w:r>
        <w:rPr>
          <w:noProof/>
        </w:rPr>
        <w:drawing>
          <wp:inline distT="0" distB="0" distL="0" distR="0" wp14:anchorId="3D46D2E0" wp14:editId="3E054768">
            <wp:extent cx="6084000" cy="286405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970" t="10077" r="55546" b="24418"/>
                    <a:stretch/>
                  </pic:blipFill>
                  <pic:spPr bwMode="auto">
                    <a:xfrm>
                      <a:off x="0" y="0"/>
                      <a:ext cx="6083266" cy="2863710"/>
                    </a:xfrm>
                    <a:prstGeom prst="rect">
                      <a:avLst/>
                    </a:prstGeom>
                    <a:ln>
                      <a:noFill/>
                    </a:ln>
                    <a:extLst>
                      <a:ext uri="{53640926-AAD7-44D8-BBD7-CCE9431645EC}">
                        <a14:shadowObscured xmlns:a14="http://schemas.microsoft.com/office/drawing/2010/main"/>
                      </a:ext>
                    </a:extLst>
                  </pic:spPr>
                </pic:pic>
              </a:graphicData>
            </a:graphic>
          </wp:inline>
        </w:drawing>
      </w:r>
    </w:p>
    <w:p w:rsidR="00B712B3" w:rsidRDefault="00B712B3">
      <w:r>
        <w:t xml:space="preserve">Both the validation and Training datasets models are statistically significant (LL p-value &lt; 0.0030, blue box) and have </w:t>
      </w:r>
      <w:r w:rsidR="00CB3F4B">
        <w:t>similar Max-rescaled R-Square values</w:t>
      </w:r>
      <w:r w:rsidR="00CB3F4B">
        <w:rPr>
          <w:rStyle w:val="FootnoteReference"/>
        </w:rPr>
        <w:footnoteReference w:id="3"/>
      </w:r>
      <w:r w:rsidR="00CB3F4B">
        <w:t xml:space="preserve">, suggesting that the original classification is not bias. </w:t>
      </w:r>
    </w:p>
    <w:p w:rsidR="00960622" w:rsidRPr="00960622" w:rsidRDefault="00CB3F4B" w:rsidP="001D0B56">
      <w:pPr>
        <w:rPr>
          <w:rFonts w:eastAsiaTheme="minorEastAsia"/>
        </w:rPr>
      </w:pPr>
      <w:r>
        <w:tab/>
        <w:t>Using the Maximum Li</w:t>
      </w:r>
      <w:r w:rsidR="008F5380">
        <w:t xml:space="preserve">kelihood parameter estimates and their associated estimates of error we can calculate the probability (user probability) of each category occurring given one of our mapped classes. Using those probabilities we can create an error matrix of user and producer probabilities with confidence intervals for each class. To illustrate let’s look closer at the results from our validation dataset. Scroll down to the </w:t>
      </w:r>
      <w:r w:rsidR="00C57524">
        <w:t>“</w:t>
      </w:r>
      <w:r w:rsidR="008F5380">
        <w:t>Analysis of Maximum Likelihood Estimates</w:t>
      </w:r>
      <w:r w:rsidR="00C57524">
        <w:t>”</w:t>
      </w:r>
      <w:r w:rsidR="008F5380">
        <w:t xml:space="preserve"> section of the output. Look at the label headings Parameter (blue outline), Category (red outline), Estimate (green outline), and Standard Error (brown outline).</w:t>
      </w:r>
      <w:r w:rsidR="00C57524">
        <w:t xml:space="preserve"> The Parameter column identifies either the intercept of each </w:t>
      </w:r>
      <w:proofErr w:type="spellStart"/>
      <w:r w:rsidR="00C57524">
        <w:t>logit</w:t>
      </w:r>
      <w:proofErr w:type="spellEnd"/>
      <w:r w:rsidR="00C57524">
        <w:t xml:space="preserve"> or the corresponding mapped class beta. The Category column defines which beta estimate applies to a given </w:t>
      </w:r>
      <w:proofErr w:type="spellStart"/>
      <w:r w:rsidR="00C57524">
        <w:t>logit</w:t>
      </w:r>
      <w:proofErr w:type="spellEnd"/>
      <w:r w:rsidR="00C57524">
        <w:t xml:space="preserve"> equation. The Estimate column depicts the maximum likelihood estimate of the beta. The Standard Error column provides an estimate of error related to the beta. </w:t>
      </w:r>
    </w:p>
    <w:p w:rsidR="008F5380" w:rsidRDefault="001D0B56">
      <w:r>
        <w:rPr>
          <w:noProof/>
        </w:rPr>
        <w:lastRenderedPageBreak/>
        <mc:AlternateContent>
          <mc:Choice Requires="wps">
            <w:drawing>
              <wp:anchor distT="0" distB="0" distL="114300" distR="114300" simplePos="0" relativeHeight="251667456" behindDoc="0" locked="0" layoutInCell="1" allowOverlap="1" wp14:anchorId="5DD4767F" wp14:editId="3AD2C512">
                <wp:simplePos x="0" y="0"/>
                <wp:positionH relativeFrom="column">
                  <wp:posOffset>3067200</wp:posOffset>
                </wp:positionH>
                <wp:positionV relativeFrom="paragraph">
                  <wp:posOffset>640800</wp:posOffset>
                </wp:positionV>
                <wp:extent cx="597600" cy="223130"/>
                <wp:effectExtent l="0" t="0" r="12065" b="24765"/>
                <wp:wrapNone/>
                <wp:docPr id="9" name="Rectangle 9"/>
                <wp:cNvGraphicFramePr/>
                <a:graphic xmlns:a="http://schemas.openxmlformats.org/drawingml/2006/main">
                  <a:graphicData uri="http://schemas.microsoft.com/office/word/2010/wordprocessingShape">
                    <wps:wsp>
                      <wps:cNvSpPr/>
                      <wps:spPr>
                        <a:xfrm>
                          <a:off x="0" y="0"/>
                          <a:ext cx="597600" cy="223130"/>
                        </a:xfrm>
                        <a:prstGeom prst="rect">
                          <a:avLst/>
                        </a:prstGeom>
                        <a:noFill/>
                        <a:ln>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9" o:spid="_x0000_s1026" style="position:absolute;margin-left:241.5pt;margin-top:50.45pt;width:47.05pt;height:17.5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BFAmwIAAKcFAAAOAAAAZHJzL2Uyb0RvYy54bWysVE1vGyEQvVfqf0Dcm107n7ayjqxEqSql&#10;iZWkyhmz4F0JGArYa/fXd4D1Ok2jVqrqA2aY4c2+x8xcXm21IhvhfAumoqOjkhJhONStWVX02/Pt&#10;pwtKfGCmZgqMqOhOeHo1+/jhsrNTMYYGVC0cQRDjp52taBOCnRaF543QzB+BFQadEpxmAU23KmrH&#10;OkTXqhiX5VnRgautAy68x9Ob7KSzhC+l4OFBSi8CURXFbwtpdWldxrWYXbLpyjHbtLz/DPYPX6FZ&#10;azDpAHXDAiNr1/4GpVvuwIMMRxx0AVK2XCQOyGZUvmHz1DArEhcUx9tBJv//YPn9ZuFIW1d0Qolh&#10;Gp/oEUVjZqUEmUR5OuunGPVkF663PG4j1610Ov4jC7JNku4GScU2EI6Hp5PzsxKF5+gaj49Hx0ny&#10;4nDZOh8+C9AkbirqMHkSkm3ufMCEGLoPibkM3LZKpVdTJh54UG0dz5IRy0ZcK0c2DB98uRonLLXW&#10;X6HOZ6cl/iIvBE5VFsOzdUBCX0QvIvfMNu3CTomYRplHIVE05JcTDEA5B+NcmDBKuX3DavG31Akw&#10;IkskMmD3AL9y2mNnBn18vCpStQ+Xy5z9T5eHGykzmDBc1q0B9x6AQlZ95hy/FylLE1VaQr3DknKQ&#10;e81bftvi094xHxbMYXNhNeDACA+4SAVdRaHfUdKA+/HeeYzHmkcvJR02a0X99zVzghL1xWA3TEYn&#10;J7G7k3Fyej5Gw732LF97zFpfA5bHCEeT5Wkb44Pab6UD/YJzZR6zoosZjrkryoPbG9chDxGcTFzM&#10;5ykMO9qycGeeLI/gUdVYus/bF+ZsX98BG+Me9o3Npm/KPMfGmwbm6wCyTT1w0LXXG6dBqtl+csVx&#10;89pOUYf5OvsJAAD//wMAUEsDBBQABgAIAAAAIQDE6y4V3QAAAAsBAAAPAAAAZHJzL2Rvd25yZXYu&#10;eG1sTI/BTsMwEETvSPyDtUjcqF0CaRriVAjBBU4ULty28TaJiNdR7Lbh71lO9Lgzo9k31Wb2gzrS&#10;FPvAFpYLA4q4Ca7n1sLnx8tNASomZIdDYLLwQxE29eVFhaULJ36n4za1Sko4lmihS2kstY5NRx7j&#10;IozE4u3D5DHJObXaTXiScj/oW2Ny7bFn+dDhSE8dNd/bg7fwVjh+HXLzZZrnIks6aIPrvbXXV/Pj&#10;A6hEc/oPwx++oEMtTLtwYBfVYOGuyGRLEsOYNShJ3K9WS1A7UbLcgK4rfb6h/gUAAP//AwBQSwEC&#10;LQAUAAYACAAAACEAtoM4kv4AAADhAQAAEwAAAAAAAAAAAAAAAAAAAAAAW0NvbnRlbnRfVHlwZXNd&#10;LnhtbFBLAQItABQABgAIAAAAIQA4/SH/1gAAAJQBAAALAAAAAAAAAAAAAAAAAC8BAABfcmVscy8u&#10;cmVsc1BLAQItABQABgAIAAAAIQA6JBFAmwIAAKcFAAAOAAAAAAAAAAAAAAAAAC4CAABkcnMvZTJv&#10;RG9jLnhtbFBLAQItABQABgAIAAAAIQDE6y4V3QAAAAsBAAAPAAAAAAAAAAAAAAAAAPUEAABkcnMv&#10;ZG93bnJldi54bWxQSwUGAAAAAAQABADzAAAA/wUAAAAA&#10;" filled="f" strokecolor="#938953 [1614]" strokeweight="2pt"/>
            </w:pict>
          </mc:Fallback>
        </mc:AlternateContent>
      </w:r>
      <w:r>
        <w:rPr>
          <w:noProof/>
        </w:rPr>
        <mc:AlternateContent>
          <mc:Choice Requires="wps">
            <w:drawing>
              <wp:anchor distT="0" distB="0" distL="114300" distR="114300" simplePos="0" relativeHeight="251665408" behindDoc="0" locked="0" layoutInCell="1" allowOverlap="1" wp14:anchorId="3E73CB1B" wp14:editId="7B43A971">
                <wp:simplePos x="0" y="0"/>
                <wp:positionH relativeFrom="column">
                  <wp:posOffset>2333585</wp:posOffset>
                </wp:positionH>
                <wp:positionV relativeFrom="paragraph">
                  <wp:posOffset>713670</wp:posOffset>
                </wp:positionV>
                <wp:extent cx="597600" cy="151200"/>
                <wp:effectExtent l="0" t="0" r="12065" b="20320"/>
                <wp:wrapNone/>
                <wp:docPr id="8" name="Rectangle 8"/>
                <wp:cNvGraphicFramePr/>
                <a:graphic xmlns:a="http://schemas.openxmlformats.org/drawingml/2006/main">
                  <a:graphicData uri="http://schemas.microsoft.com/office/word/2010/wordprocessingShape">
                    <wps:wsp>
                      <wps:cNvSpPr/>
                      <wps:spPr>
                        <a:xfrm>
                          <a:off x="0" y="0"/>
                          <a:ext cx="597600" cy="151200"/>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8" o:spid="_x0000_s1026" style="position:absolute;margin-left:183.75pt;margin-top:56.2pt;width:47.05pt;height:11.9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I1BkwIAAIQFAAAOAAAAZHJzL2Uyb0RvYy54bWysVEtv2zAMvg/YfxB0X20HTR9BnSJr0WFA&#10;0RZ9oGdFlmIDsqhRSpzs14+SHTdoix2G+SBLIvmR/Ejx4nLbGrZR6BuwJS+Ocs6UlVA1dlXyl+eb&#10;b2ec+SBsJQxYVfKd8vxy/vXLRedmagI1mEohIxDrZ50reR2Cm2WZl7VqhT8CpywJNWArAh1xlVUo&#10;OkJvTTbJ85OsA6wcglTe0+11L+TzhK+1kuFea68CMyWn2EJaMa3LuGbzCzFboXB1I4cwxD9E0YrG&#10;ktMR6loEwdbYfIBqG4ngQYcjCW0GWjdSpRwomyJ/l81TLZxKuRA53o00+f8HK+82D8iaquRUKCta&#10;KtEjkSbsyih2FunpnJ+R1pN7wOHkaRtz3Wps45+yYNtE6W6kVG0Dk3Q5PT89yYl4SaJiWlDJImb2&#10;ZuzQhx8KWhY3JUdynogUm1sfetW9SvRl4aYxhu7FzNi4ejBNFe/SAVfLK4NsI2K58+/5dO/uQI2c&#10;R9MsJtanknZhZ1QP+6g0MULBT1IkqRfVCCukVDYUvagWleq9TXP6htxGi5SpsQQYkTVFOWIPALHP&#10;P2L3eQ/60VSlVh6N878F1huPFskz2DAat40F/AzAUFaD515/T1JPTWRpCdWO+gWhf0jeyZuG6nYr&#10;fHgQSC+HSk3TINzTog10JYdhx1kN+Puz+6hPDU1Szjp6iSX3v9YCFWfmp6VWPy+Oj+PTTYfj6emE&#10;DngoWR5K7Lq9Aqp+QXPHybSN+sHstxqhfaWhsYheSSSsJN8llwH3h6vQTwgaO1ItFkmNnqsT4dY+&#10;ORnBI6uxL5+3rwLd0LyBuv4O9q9WzN71cK8bLS0s1gF0kxr8jdeBb3rqqXGGsRRnyeE5ab0Nz/kf&#10;AAAA//8DAFBLAwQUAAYACAAAACEA1T167uAAAAALAQAADwAAAGRycy9kb3ducmV2LnhtbEyPwU7D&#10;MAyG70i8Q2QkLoil7UqYStMJkJC4bR0c4JY1pi00TtVkW3l7zAmO9v/p9+dyPbtBHHEKvScN6SIB&#10;gdR421Or4fXl6XoFIkRD1gyeUMM3BlhX52elKaw/UY3HXWwFl1AojIYuxrGQMjQdOhMWfkTi7MNP&#10;zkQep1bayZy43A0ySxIlnemJL3RmxMcOm6/dwWnYvteNGd9U2q3q7TM+XG3az3yj9eXFfH8HIuIc&#10;/2D41Wd1qNhp7w9kgxg0LNXtDaMcpFkOgolcpQrEnjdLlYGsSvn/h+oHAAD//wMAUEsBAi0AFAAG&#10;AAgAAAAhALaDOJL+AAAA4QEAABMAAAAAAAAAAAAAAAAAAAAAAFtDb250ZW50X1R5cGVzXS54bWxQ&#10;SwECLQAUAAYACAAAACEAOP0h/9YAAACUAQAACwAAAAAAAAAAAAAAAAAvAQAAX3JlbHMvLnJlbHNQ&#10;SwECLQAUAAYACAAAACEA4RCNQZMCAACEBQAADgAAAAAAAAAAAAAAAAAuAgAAZHJzL2Uyb0RvYy54&#10;bWxQSwECLQAUAAYACAAAACEA1T167uAAAAALAQAADwAAAAAAAAAAAAAAAADtBAAAZHJzL2Rvd25y&#10;ZXYueG1sUEsFBgAAAAAEAAQA8wAAAPoFAAAAAA==&#10;" filled="f" strokecolor="#00b050" strokeweight="2pt"/>
            </w:pict>
          </mc:Fallback>
        </mc:AlternateContent>
      </w:r>
      <w:r>
        <w:rPr>
          <w:noProof/>
        </w:rPr>
        <mc:AlternateContent>
          <mc:Choice Requires="wps">
            <w:drawing>
              <wp:anchor distT="0" distB="0" distL="114300" distR="114300" simplePos="0" relativeHeight="251663360" behindDoc="0" locked="0" layoutInCell="1" allowOverlap="1" wp14:anchorId="48890D2A" wp14:editId="4CCAD208">
                <wp:simplePos x="0" y="0"/>
                <wp:positionH relativeFrom="column">
                  <wp:posOffset>1311185</wp:posOffset>
                </wp:positionH>
                <wp:positionV relativeFrom="paragraph">
                  <wp:posOffset>713740</wp:posOffset>
                </wp:positionV>
                <wp:extent cx="597600" cy="151200"/>
                <wp:effectExtent l="0" t="0" r="12065" b="20320"/>
                <wp:wrapNone/>
                <wp:docPr id="7" name="Rectangle 7"/>
                <wp:cNvGraphicFramePr/>
                <a:graphic xmlns:a="http://schemas.openxmlformats.org/drawingml/2006/main">
                  <a:graphicData uri="http://schemas.microsoft.com/office/word/2010/wordprocessingShape">
                    <wps:wsp>
                      <wps:cNvSpPr/>
                      <wps:spPr>
                        <a:xfrm>
                          <a:off x="0" y="0"/>
                          <a:ext cx="597600" cy="1512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7" o:spid="_x0000_s1026" style="position:absolute;margin-left:103.25pt;margin-top:56.2pt;width:47.05pt;height:11.9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ihwlAIAAIQFAAAOAAAAZHJzL2Uyb0RvYy54bWysVMFu2zAMvQ/YPwi6r7aDplmNOkXQIsOA&#10;oi3aDj0rshQbkEVNUuJkXz9Kst2gK3YY5oMsiuSj+ETy6vrQKbIX1rWgK1qc5ZQIzaFu9baiP17W&#10;X75S4jzTNVOgRUWPwtHr5edPV70pxQwaULWwBEG0K3tT0cZ7U2aZ443omDsDIzQqJdiOeRTtNqst&#10;6xG9U9kszy+yHmxtLHDhHJ7eJiVdRnwpBfcPUjrhiaoo3s3H1cZ1E9ZsecXKrWWmaflwDfYPt+hY&#10;qzHoBHXLPCM72/4B1bXcggPpzzh0GUjZchFzwGyK/F02zw0zIuaC5Dgz0eT+Hyy/3z9a0tYVXVCi&#10;WYdP9ISkMb1VgiwCPb1xJVo9m0c7SA63IdeDtF34YxbkECk9TpSKgyccD+eXi4scieeoKuYFPlnA&#10;zN6cjXX+m4COhE1FLQaPRLL9nfPJdDQJsTSsW6XwnJVKh9WBautwFgW73dwoS/YMn3u9zvEbwp2Y&#10;YfDgmoXEUipx549KJNgnIZERvPws3iTWophgGedC+yKpGlaLFG1+GixUb/CImSqNgAFZ4i0n7AFg&#10;tEwgI3bKe7APriKW8uSc/+1iyXnyiJFB+8m5azXYjwAUZjVETvYjSYmawNIG6iPWi4XUSM7wdYvv&#10;dsecf2QWOwefGqeBf8BFKugrCsOOkgbsr4/Ogz0WNGop6bETK+p+7pgVlKjvGkv9sjg/D60bhfP5&#10;YoaCPdVsTjV6190Avn6Bc8fwuA32Xo1baaF7xaGxClFRxTTH2BXl3o7CjU8TAscOF6tVNMN2Nczf&#10;6WfDA3hgNdTly+GVWTMUr8eqv4exa1n5roaTbfDUsNp5kG0s8DdeB76x1WPhDGMpzJJTOVq9Dc/l&#10;bwAAAP//AwBQSwMEFAAGAAgAAAAhAERn7zreAAAACwEAAA8AAABkcnMvZG93bnJldi54bWxMjz1P&#10;wzAQhnck/oN1SCyodZpAVIU4FVSiAwMShaWbEx9J1Pgc2U4T/j3HBOPd++j9KHeLHcQFfegdKdis&#10;ExBIjTM9tQo+P15WWxAhajJ6cIQKvjHArrq+KnVh3EzveDnGVrAJhUIr6GIcCylD06HVYe1GJNa+&#10;nLc68ulbabye2dwOMk2SXFrdEyd0esR9h835OFkF9eHk99vn7BCnu5ytz+0rvs1K3d4sT48gIi7x&#10;D4bf+lwdKu5Uu4lMEIOCNMkfGGVhk96DYCLjPBA1f7I8BVmV8v+G6gcAAP//AwBQSwECLQAUAAYA&#10;CAAAACEAtoM4kv4AAADhAQAAEwAAAAAAAAAAAAAAAAAAAAAAW0NvbnRlbnRfVHlwZXNdLnhtbFBL&#10;AQItABQABgAIAAAAIQA4/SH/1gAAAJQBAAALAAAAAAAAAAAAAAAAAC8BAABfcmVscy8ucmVsc1BL&#10;AQItABQABgAIAAAAIQABnihwlAIAAIQFAAAOAAAAAAAAAAAAAAAAAC4CAABkcnMvZTJvRG9jLnht&#10;bFBLAQItABQABgAIAAAAIQBEZ+863gAAAAsBAAAPAAAAAAAAAAAAAAAAAO4EAABkcnMvZG93bnJl&#10;di54bWxQSwUGAAAAAAQABADzAAAA+QUAAAAA&#10;" filled="f" strokecolor="red" strokeweight="2pt"/>
            </w:pict>
          </mc:Fallback>
        </mc:AlternateContent>
      </w:r>
      <w:r>
        <w:rPr>
          <w:noProof/>
        </w:rPr>
        <mc:AlternateContent>
          <mc:Choice Requires="wps">
            <w:drawing>
              <wp:anchor distT="0" distB="0" distL="114300" distR="114300" simplePos="0" relativeHeight="251661312" behindDoc="0" locked="0" layoutInCell="1" allowOverlap="1" wp14:anchorId="0542FABB" wp14:editId="75999945">
                <wp:simplePos x="0" y="0"/>
                <wp:positionH relativeFrom="column">
                  <wp:posOffset>439200</wp:posOffset>
                </wp:positionH>
                <wp:positionV relativeFrom="paragraph">
                  <wp:posOffset>712800</wp:posOffset>
                </wp:positionV>
                <wp:extent cx="597600" cy="151200"/>
                <wp:effectExtent l="0" t="0" r="12065" b="20320"/>
                <wp:wrapNone/>
                <wp:docPr id="6" name="Rectangle 6"/>
                <wp:cNvGraphicFramePr/>
                <a:graphic xmlns:a="http://schemas.openxmlformats.org/drawingml/2006/main">
                  <a:graphicData uri="http://schemas.microsoft.com/office/word/2010/wordprocessingShape">
                    <wps:wsp>
                      <wps:cNvSpPr/>
                      <wps:spPr>
                        <a:xfrm>
                          <a:off x="0" y="0"/>
                          <a:ext cx="597600" cy="151200"/>
                        </a:xfrm>
                        <a:prstGeom prst="rect">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6" o:spid="_x0000_s1026" style="position:absolute;margin-left:34.6pt;margin-top:56.15pt;width:47.05pt;height:11.9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evbkgIAAIQFAAAOAAAAZHJzL2Uyb0RvYy54bWysVE1v2zAMvQ/YfxB0X20HTboadYogRYcB&#10;RVe0HXpWZCk2IIsapXzt14+SHTdoix2G+SCLIvkoPpG8ut53hm0V+hZsxYuznDNlJdStXVf85/Pt&#10;l6+c+SBsLQxYVfGD8vx6/vnT1c6VagINmFohIxDry52reBOCK7PMy0Z1wp+BU5aUGrATgURcZzWK&#10;HaF3Jpvk+SzbAdYOQSrv6fSmV/J5wtdayfBDa68CMxWnu4W0YlpXcc3mV6Jco3BNK4driH+4RSda&#10;S0FHqBsRBNtg+w6qayWCBx3OJHQZaN1KlXKgbIr8TTZPjXAq5ULkeDfS5P8frLzfPiBr64rPOLOi&#10;oyd6JNKEXRvFZpGenfMlWT25BxwkT9uY615jF/+UBdsnSg8jpWofmKTD6eXFLCfiJamKaUFPFjGz&#10;V2eHPnxT0LG4qThS8ESk2N750JseTWIsC7etMXQuSmPj6sG0dTxLAq5XS4NsK+Jz5xf58hjuxIyC&#10;R9csJtanknbhYFQP+6g0MUKXn6SbpFpUI6yQUtlQ9KpG1KqPNs3pG3IbPVKmxhJgRNZ0yxF7AIh1&#10;/h67z3uwj64qlfLonP/tYr3z6JEigw2jc9dawI8ADGU1RO7tjyT11ESWVlAfqF4Q+kbyTt629G53&#10;wocHgdQ59NQ0DcIPWrSBXcVh2HHWAP7+6DzaU0GTlrMddWLF/a+NQMWZ+W6p1C+L8/PYukk4n15M&#10;SMBTzepUYzfdEuj1C5o7TqZttA/muNUI3QsNjUWMSiphJcWuuAx4FJahnxA0dqRaLJIZtasT4c4+&#10;ORnBI6uxLp/3LwLdULyBqv4ejl0ryjc13NtGTwuLTQDdpgJ/5XXgm1o9Fc4wluIsOZWT1evwnP8B&#10;AAD//wMAUEsDBBQABgAIAAAAIQAIWy0n2wAAAAoBAAAPAAAAZHJzL2Rvd25yZXYueG1sTI/NTsNA&#10;DITvSLzDykjc6OZHikjIpgIkuNMiJG5O1iQRWW+a3bbh7XFPcBt7RuPP9XZ1kzrREkbPBtJNAoq4&#10;83bk3sD7/uXuHlSIyBYnz2TghwJsm+urGivrz/xGp13slZRwqNDAEONcaR26gRyGjZ+Jxfvyi8Mo&#10;49Jru+BZyt2ksyQptMOR5cKAMz0P1H3vjs6AK58OY0nx86PFMaz7V3Q8HIy5vVkfH0BFWuNfGC74&#10;gg6NMLX+yDaoyUBRZpKUfZrloC6BIhfRisiLFHRT6/8vNL8AAAD//wMAUEsBAi0AFAAGAAgAAAAh&#10;ALaDOJL+AAAA4QEAABMAAAAAAAAAAAAAAAAAAAAAAFtDb250ZW50X1R5cGVzXS54bWxQSwECLQAU&#10;AAYACAAAACEAOP0h/9YAAACUAQAACwAAAAAAAAAAAAAAAAAvAQAAX3JlbHMvLnJlbHNQSwECLQAU&#10;AAYACAAAACEAX2Hr25ICAACEBQAADgAAAAAAAAAAAAAAAAAuAgAAZHJzL2Uyb0RvYy54bWxQSwEC&#10;LQAUAAYACAAAACEACFstJ9sAAAAKAQAADwAAAAAAAAAAAAAAAADsBAAAZHJzL2Rvd25yZXYueG1s&#10;UEsFBgAAAAAEAAQA8wAAAPQFAAAAAA==&#10;" filled="f" strokecolor="#0070c0" strokeweight="2pt"/>
            </w:pict>
          </mc:Fallback>
        </mc:AlternateContent>
      </w:r>
      <w:r w:rsidR="008F5380">
        <w:rPr>
          <w:noProof/>
        </w:rPr>
        <w:drawing>
          <wp:inline distT="0" distB="0" distL="0" distR="0" wp14:anchorId="2B7C6BFB" wp14:editId="4C774FFA">
            <wp:extent cx="5943600" cy="59861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5986145"/>
                    </a:xfrm>
                    <a:prstGeom prst="rect">
                      <a:avLst/>
                    </a:prstGeom>
                  </pic:spPr>
                </pic:pic>
              </a:graphicData>
            </a:graphic>
          </wp:inline>
        </w:drawing>
      </w:r>
    </w:p>
    <w:p w:rsidR="001D0B56" w:rsidRDefault="001D0B56" w:rsidP="001D0B56">
      <w:r>
        <w:t>To estimate the probability of each category given a mapped class lets rearrange these results into a series of linear equations that estimate the natural log odds</w:t>
      </w:r>
      <w:r>
        <w:rPr>
          <w:rStyle w:val="FootnoteReference"/>
        </w:rPr>
        <w:footnoteReference w:id="4"/>
      </w:r>
      <w:r>
        <w:t xml:space="preserve"> of a given Category. </w:t>
      </w:r>
    </w:p>
    <w:p w:rsidR="001D0B56" w:rsidRPr="00960622" w:rsidRDefault="001D0B56" w:rsidP="001D0B56">
      <w:pPr>
        <w:pStyle w:val="ListParagraph"/>
        <w:numPr>
          <w:ilvl w:val="0"/>
          <w:numId w:val="2"/>
        </w:numPr>
      </w:pPr>
      <m:oMath>
        <m:r>
          <w:rPr>
            <w:rFonts w:ascii="Cambria Math" w:hAnsi="Cambria Math"/>
          </w:rPr>
          <m:t>LN</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π</m:t>
                    </m:r>
                  </m:e>
                  <m:sub>
                    <m:r>
                      <w:rPr>
                        <w:rFonts w:ascii="Cambria Math" w:hAnsi="Cambria Math"/>
                      </w:rPr>
                      <m:t>1</m:t>
                    </m:r>
                  </m:sub>
                </m:sSub>
              </m:num>
              <m:den>
                <m:sSub>
                  <m:sSubPr>
                    <m:ctrlPr>
                      <w:rPr>
                        <w:rFonts w:ascii="Cambria Math" w:hAnsi="Cambria Math"/>
                        <w:i/>
                      </w:rPr>
                    </m:ctrlPr>
                  </m:sSubPr>
                  <m:e>
                    <m:r>
                      <w:rPr>
                        <w:rFonts w:ascii="Cambria Math" w:hAnsi="Cambria Math"/>
                      </w:rPr>
                      <m:t>π</m:t>
                    </m:r>
                  </m:e>
                  <m:sub>
                    <m:r>
                      <w:rPr>
                        <w:rFonts w:ascii="Cambria Math" w:hAnsi="Cambria Math"/>
                      </w:rPr>
                      <m:t>14</m:t>
                    </m:r>
                  </m:sub>
                </m:sSub>
              </m:den>
            </m:f>
          </m:e>
        </m:d>
        <m:r>
          <w:rPr>
            <w:rFonts w:ascii="Cambria Math" w:hAnsi="Cambria Math"/>
          </w:rPr>
          <m:t>=1.9098+</m:t>
        </m:r>
        <m:sSub>
          <m:sSubPr>
            <m:ctrlPr>
              <w:rPr>
                <w:rFonts w:ascii="Cambria Math" w:hAnsi="Cambria Math"/>
                <w:i/>
              </w:rPr>
            </m:ctrlPr>
          </m:sSubPr>
          <m:e>
            <m:r>
              <w:rPr>
                <w:rFonts w:ascii="Cambria Math" w:hAnsi="Cambria Math"/>
              </w:rPr>
              <m:t>0.4881</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1.5043</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1.6866</m:t>
            </m:r>
          </m:e>
          <m:sub>
            <m:r>
              <w:rPr>
                <w:rFonts w:ascii="Cambria Math" w:hAnsi="Cambria Math"/>
              </w:rPr>
              <m:t>6</m:t>
            </m:r>
          </m:sub>
        </m:sSub>
        <m:r>
          <w:rPr>
            <w:rFonts w:ascii="Cambria Math" w:hAnsi="Cambria Math"/>
          </w:rPr>
          <m:t>-</m:t>
        </m:r>
        <m:sSub>
          <m:sSubPr>
            <m:ctrlPr>
              <w:rPr>
                <w:rFonts w:ascii="Cambria Math" w:hAnsi="Cambria Math"/>
                <w:i/>
              </w:rPr>
            </m:ctrlPr>
          </m:sSubPr>
          <m:e>
            <m:r>
              <w:rPr>
                <w:rFonts w:ascii="Cambria Math" w:hAnsi="Cambria Math"/>
              </w:rPr>
              <m:t>1.9098</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13.0860</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3.5192</m:t>
            </m:r>
          </m:e>
          <m:sub>
            <m:r>
              <w:rPr>
                <w:rFonts w:ascii="Cambria Math" w:hAnsi="Cambria Math"/>
              </w:rPr>
              <m:t>12</m:t>
            </m:r>
          </m:sub>
        </m:sSub>
      </m:oMath>
    </w:p>
    <w:p w:rsidR="001D0B56" w:rsidRPr="00960622" w:rsidRDefault="001D0B56" w:rsidP="001D0B56">
      <w:pPr>
        <w:pStyle w:val="ListParagraph"/>
        <w:numPr>
          <w:ilvl w:val="0"/>
          <w:numId w:val="2"/>
        </w:numPr>
      </w:pPr>
      <m:oMath>
        <m:r>
          <w:rPr>
            <w:rFonts w:ascii="Cambria Math" w:hAnsi="Cambria Math"/>
          </w:rPr>
          <m:t>LN</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π</m:t>
                    </m:r>
                  </m:e>
                  <m:sub>
                    <m:r>
                      <w:rPr>
                        <w:rFonts w:ascii="Cambria Math" w:hAnsi="Cambria Math"/>
                      </w:rPr>
                      <m:t>5</m:t>
                    </m:r>
                  </m:sub>
                </m:sSub>
              </m:num>
              <m:den>
                <m:sSub>
                  <m:sSubPr>
                    <m:ctrlPr>
                      <w:rPr>
                        <w:rFonts w:ascii="Cambria Math" w:hAnsi="Cambria Math"/>
                        <w:i/>
                      </w:rPr>
                    </m:ctrlPr>
                  </m:sSubPr>
                  <m:e>
                    <m:r>
                      <w:rPr>
                        <w:rFonts w:ascii="Cambria Math" w:hAnsi="Cambria Math"/>
                      </w:rPr>
                      <m:t>π</m:t>
                    </m:r>
                  </m:e>
                  <m:sub>
                    <m:r>
                      <w:rPr>
                        <w:rFonts w:ascii="Cambria Math" w:hAnsi="Cambria Math"/>
                      </w:rPr>
                      <m:t>14</m:t>
                    </m:r>
                  </m:sub>
                </m:sSub>
              </m:den>
            </m:f>
          </m:e>
        </m:d>
        <m:r>
          <w:rPr>
            <w:rFonts w:ascii="Cambria Math" w:hAnsi="Cambria Math"/>
          </w:rPr>
          <m:t>=1.8133-</m:t>
        </m:r>
        <m:sSub>
          <m:sSubPr>
            <m:ctrlPr>
              <w:rPr>
                <w:rFonts w:ascii="Cambria Math" w:hAnsi="Cambria Math"/>
                <w:i/>
              </w:rPr>
            </m:ctrlPr>
          </m:sSubPr>
          <m:e>
            <m:r>
              <w:rPr>
                <w:rFonts w:ascii="Cambria Math" w:hAnsi="Cambria Math"/>
              </w:rPr>
              <m:t>2.5065</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0.5381</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3.1996</m:t>
            </m:r>
          </m:e>
          <m:sub>
            <m:r>
              <w:rPr>
                <w:rFonts w:ascii="Cambria Math" w:hAnsi="Cambria Math"/>
              </w:rPr>
              <m:t>6</m:t>
            </m:r>
          </m:sub>
        </m:sSub>
        <m:r>
          <w:rPr>
            <w:rFonts w:ascii="Cambria Math" w:hAnsi="Cambria Math"/>
          </w:rPr>
          <m:t>-</m:t>
        </m:r>
        <m:sSub>
          <m:sSubPr>
            <m:ctrlPr>
              <w:rPr>
                <w:rFonts w:ascii="Cambria Math" w:hAnsi="Cambria Math"/>
                <w:i/>
              </w:rPr>
            </m:ctrlPr>
          </m:sSubPr>
          <m:e>
            <m:r>
              <w:rPr>
                <w:rFonts w:ascii="Cambria Math" w:hAnsi="Cambria Math"/>
              </w:rPr>
              <m:t>1.4078</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13.4701</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2.7296</m:t>
            </m:r>
          </m:e>
          <m:sub>
            <m:r>
              <w:rPr>
                <w:rFonts w:ascii="Cambria Math" w:hAnsi="Cambria Math"/>
              </w:rPr>
              <m:t>12</m:t>
            </m:r>
          </m:sub>
        </m:sSub>
      </m:oMath>
    </w:p>
    <w:p w:rsidR="001D0B56" w:rsidRPr="00960622" w:rsidRDefault="001D0B56" w:rsidP="001D0B56">
      <w:pPr>
        <w:pStyle w:val="ListParagraph"/>
        <w:numPr>
          <w:ilvl w:val="0"/>
          <w:numId w:val="2"/>
        </w:numPr>
        <w:rPr>
          <w:rFonts w:eastAsiaTheme="minorEastAsia"/>
        </w:rPr>
      </w:pPr>
      <m:oMath>
        <m:r>
          <w:rPr>
            <w:rFonts w:ascii="Cambria Math" w:hAnsi="Cambria Math"/>
          </w:rPr>
          <m:t>LN</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π</m:t>
                    </m:r>
                  </m:e>
                  <m:sub>
                    <m:r>
                      <w:rPr>
                        <w:rFonts w:ascii="Cambria Math" w:hAnsi="Cambria Math"/>
                      </w:rPr>
                      <m:t>6</m:t>
                    </m:r>
                  </m:sub>
                </m:sSub>
              </m:num>
              <m:den>
                <m:sSub>
                  <m:sSubPr>
                    <m:ctrlPr>
                      <w:rPr>
                        <w:rFonts w:ascii="Cambria Math" w:hAnsi="Cambria Math"/>
                        <w:i/>
                      </w:rPr>
                    </m:ctrlPr>
                  </m:sSubPr>
                  <m:e>
                    <m:r>
                      <w:rPr>
                        <w:rFonts w:ascii="Cambria Math" w:hAnsi="Cambria Math"/>
                      </w:rPr>
                      <m:t>π</m:t>
                    </m:r>
                  </m:e>
                  <m:sub>
                    <m:r>
                      <w:rPr>
                        <w:rFonts w:ascii="Cambria Math" w:hAnsi="Cambria Math"/>
                      </w:rPr>
                      <m:t>14</m:t>
                    </m:r>
                  </m:sub>
                </m:sSub>
              </m:den>
            </m:f>
          </m:e>
        </m:d>
        <m:r>
          <w:rPr>
            <w:rFonts w:ascii="Cambria Math" w:hAnsi="Cambria Math"/>
          </w:rPr>
          <m:t>=1.7913-</m:t>
        </m:r>
        <m:sSub>
          <m:sSubPr>
            <m:ctrlPr>
              <w:rPr>
                <w:rFonts w:ascii="Cambria Math" w:hAnsi="Cambria Math"/>
                <w:i/>
              </w:rPr>
            </m:ctrlPr>
          </m:sSubPr>
          <m:e>
            <m:r>
              <w:rPr>
                <w:rFonts w:ascii="Cambria Math" w:hAnsi="Cambria Math"/>
              </w:rPr>
              <m:t>1.3858</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2.4844</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0.4050</m:t>
            </m:r>
          </m:e>
          <m:sub>
            <m:r>
              <w:rPr>
                <w:rFonts w:ascii="Cambria Math" w:hAnsi="Cambria Math"/>
              </w:rPr>
              <m:t>6</m:t>
            </m:r>
          </m:sub>
        </m:sSub>
        <m:r>
          <w:rPr>
            <w:rFonts w:ascii="Cambria Math" w:hAnsi="Cambria Math"/>
          </w:rPr>
          <m:t>-</m:t>
        </m:r>
        <m:sSub>
          <m:sSubPr>
            <m:ctrlPr>
              <w:rPr>
                <w:rFonts w:ascii="Cambria Math" w:hAnsi="Cambria Math"/>
                <w:i/>
              </w:rPr>
            </m:ctrlPr>
          </m:sSubPr>
          <m:e>
            <m:r>
              <w:rPr>
                <w:rFonts w:ascii="Cambria Math" w:hAnsi="Cambria Math"/>
              </w:rPr>
              <m:t>1.3858</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12.7990</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2.3021</m:t>
            </m:r>
          </m:e>
          <m:sub>
            <m:r>
              <w:rPr>
                <w:rFonts w:ascii="Cambria Math" w:hAnsi="Cambria Math"/>
              </w:rPr>
              <m:t>12</m:t>
            </m:r>
          </m:sub>
        </m:sSub>
      </m:oMath>
    </w:p>
    <w:p w:rsidR="001D0B56" w:rsidRPr="00960622" w:rsidRDefault="001D0B56" w:rsidP="001D0B56">
      <w:pPr>
        <w:pStyle w:val="ListParagraph"/>
        <w:numPr>
          <w:ilvl w:val="0"/>
          <w:numId w:val="2"/>
        </w:numPr>
        <w:rPr>
          <w:rFonts w:eastAsiaTheme="minorEastAsia"/>
        </w:rPr>
      </w:pPr>
      <m:oMath>
        <m:r>
          <w:rPr>
            <w:rFonts w:ascii="Cambria Math" w:hAnsi="Cambria Math"/>
          </w:rPr>
          <w:lastRenderedPageBreak/>
          <m:t>LN</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π</m:t>
                    </m:r>
                  </m:e>
                  <m:sub>
                    <m:r>
                      <w:rPr>
                        <w:rFonts w:ascii="Cambria Math" w:hAnsi="Cambria Math"/>
                      </w:rPr>
                      <m:t>10</m:t>
                    </m:r>
                  </m:sub>
                </m:sSub>
              </m:num>
              <m:den>
                <m:sSub>
                  <m:sSubPr>
                    <m:ctrlPr>
                      <w:rPr>
                        <w:rFonts w:ascii="Cambria Math" w:hAnsi="Cambria Math"/>
                        <w:i/>
                      </w:rPr>
                    </m:ctrlPr>
                  </m:sSubPr>
                  <m:e>
                    <m:r>
                      <w:rPr>
                        <w:rFonts w:ascii="Cambria Math" w:hAnsi="Cambria Math"/>
                      </w:rPr>
                      <m:t>π</m:t>
                    </m:r>
                  </m:e>
                  <m:sub>
                    <m:r>
                      <w:rPr>
                        <w:rFonts w:ascii="Cambria Math" w:hAnsi="Cambria Math"/>
                      </w:rPr>
                      <m:t>14</m:t>
                    </m:r>
                  </m:sub>
                </m:sSub>
              </m:den>
            </m:f>
          </m:e>
        </m:d>
        <m:r>
          <w:rPr>
            <w:rFonts w:ascii="Cambria Math" w:hAnsi="Cambria Math"/>
          </w:rPr>
          <m:t>=-0.8182+</m:t>
        </m:r>
        <m:sSub>
          <m:sSubPr>
            <m:ctrlPr>
              <w:rPr>
                <w:rFonts w:ascii="Cambria Math" w:hAnsi="Cambria Math"/>
                <w:i/>
              </w:rPr>
            </m:ctrlPr>
          </m:sSubPr>
          <m:e>
            <m:r>
              <w:rPr>
                <w:rFonts w:ascii="Cambria Math" w:hAnsi="Cambria Math"/>
              </w:rPr>
              <m:t>0.1250</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0.1250</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0.5681</m:t>
            </m:r>
          </m:e>
          <m:sub>
            <m:r>
              <w:rPr>
                <w:rFonts w:ascii="Cambria Math" w:hAnsi="Cambria Math"/>
              </w:rPr>
              <m:t>6</m:t>
            </m:r>
          </m:sub>
        </m:sSub>
        <m:r>
          <w:rPr>
            <w:rFonts w:ascii="Cambria Math" w:hAnsi="Cambria Math"/>
          </w:rPr>
          <m:t>+</m:t>
        </m:r>
        <m:sSub>
          <m:sSubPr>
            <m:ctrlPr>
              <w:rPr>
                <w:rFonts w:ascii="Cambria Math" w:hAnsi="Cambria Math"/>
                <w:i/>
              </w:rPr>
            </m:ctrlPr>
          </m:sSubPr>
          <m:e>
            <m:r>
              <w:rPr>
                <w:rFonts w:ascii="Cambria Math" w:hAnsi="Cambria Math"/>
              </w:rPr>
              <m:t>2.8976</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14.7153</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15.7615</m:t>
            </m:r>
          </m:e>
          <m:sub>
            <m:r>
              <w:rPr>
                <w:rFonts w:ascii="Cambria Math" w:hAnsi="Cambria Math"/>
              </w:rPr>
              <m:t>12</m:t>
            </m:r>
          </m:sub>
        </m:sSub>
      </m:oMath>
    </w:p>
    <w:p w:rsidR="001D0B56" w:rsidRPr="00960622" w:rsidRDefault="001D0B56" w:rsidP="001D0B56">
      <w:pPr>
        <w:pStyle w:val="ListParagraph"/>
        <w:numPr>
          <w:ilvl w:val="0"/>
          <w:numId w:val="2"/>
        </w:numPr>
        <w:rPr>
          <w:rFonts w:eastAsiaTheme="minorEastAsia"/>
        </w:rPr>
      </w:pPr>
      <m:oMath>
        <m:r>
          <w:rPr>
            <w:rFonts w:ascii="Cambria Math" w:hAnsi="Cambria Math"/>
          </w:rPr>
          <m:t>LN</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π</m:t>
                    </m:r>
                  </m:e>
                  <m:sub>
                    <m:r>
                      <w:rPr>
                        <w:rFonts w:ascii="Cambria Math" w:hAnsi="Cambria Math"/>
                      </w:rPr>
                      <m:t>11</m:t>
                    </m:r>
                  </m:sub>
                </m:sSub>
              </m:num>
              <m:den>
                <m:sSub>
                  <m:sSubPr>
                    <m:ctrlPr>
                      <w:rPr>
                        <w:rFonts w:ascii="Cambria Math" w:hAnsi="Cambria Math"/>
                        <w:i/>
                      </w:rPr>
                    </m:ctrlPr>
                  </m:sSubPr>
                  <m:e>
                    <m:r>
                      <w:rPr>
                        <w:rFonts w:ascii="Cambria Math" w:hAnsi="Cambria Math"/>
                      </w:rPr>
                      <m:t>π</m:t>
                    </m:r>
                  </m:e>
                  <m:sub>
                    <m:r>
                      <w:rPr>
                        <w:rFonts w:ascii="Cambria Math" w:hAnsi="Cambria Math"/>
                      </w:rPr>
                      <m:t>14</m:t>
                    </m:r>
                  </m:sub>
                </m:sSub>
              </m:den>
            </m:f>
          </m:e>
        </m:d>
        <m:r>
          <w:rPr>
            <w:rFonts w:ascii="Cambria Math" w:hAnsi="Cambria Math"/>
          </w:rPr>
          <m:t>=1.7334-</m:t>
        </m:r>
        <m:sSub>
          <m:sSubPr>
            <m:ctrlPr>
              <w:rPr>
                <w:rFonts w:ascii="Cambria Math" w:hAnsi="Cambria Math"/>
                <w:i/>
              </w:rPr>
            </m:ctrlPr>
          </m:sSubPr>
          <m:e>
            <m:r>
              <w:rPr>
                <w:rFonts w:ascii="Cambria Math" w:hAnsi="Cambria Math"/>
              </w:rPr>
              <m:t>2.4265</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1.7334</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2.0210</m:t>
            </m:r>
          </m:e>
          <m:sub>
            <m:r>
              <w:rPr>
                <w:rFonts w:ascii="Cambria Math" w:hAnsi="Cambria Math"/>
              </w:rPr>
              <m:t>6</m:t>
            </m:r>
          </m:sub>
        </m:sSub>
        <m:r>
          <w:rPr>
            <w:rFonts w:ascii="Cambria Math" w:hAnsi="Cambria Math"/>
          </w:rPr>
          <m:t>-</m:t>
        </m:r>
        <m:sSub>
          <m:sSubPr>
            <m:ctrlPr>
              <w:rPr>
                <w:rFonts w:ascii="Cambria Math" w:hAnsi="Cambria Math"/>
                <w:i/>
              </w:rPr>
            </m:ctrlPr>
          </m:sSubPr>
          <m:e>
            <m:r>
              <w:rPr>
                <w:rFonts w:ascii="Cambria Math" w:hAnsi="Cambria Math"/>
              </w:rPr>
              <m:t>1.7334</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14.9364</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2.2442</m:t>
            </m:r>
          </m:e>
          <m:sub>
            <m:r>
              <w:rPr>
                <w:rFonts w:ascii="Cambria Math" w:hAnsi="Cambria Math"/>
              </w:rPr>
              <m:t>12</m:t>
            </m:r>
          </m:sub>
        </m:sSub>
      </m:oMath>
    </w:p>
    <w:p w:rsidR="001D0B56" w:rsidRPr="00960622" w:rsidRDefault="001D0B56" w:rsidP="001D0B56">
      <w:pPr>
        <w:pStyle w:val="ListParagraph"/>
        <w:numPr>
          <w:ilvl w:val="0"/>
          <w:numId w:val="2"/>
        </w:numPr>
        <w:rPr>
          <w:rFonts w:eastAsiaTheme="minorEastAsia"/>
        </w:rPr>
      </w:pPr>
      <m:oMath>
        <m:r>
          <w:rPr>
            <w:rFonts w:ascii="Cambria Math" w:hAnsi="Cambria Math"/>
          </w:rPr>
          <m:t>LN</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π</m:t>
                    </m:r>
                  </m:e>
                  <m:sub>
                    <m:r>
                      <w:rPr>
                        <w:rFonts w:ascii="Cambria Math" w:hAnsi="Cambria Math"/>
                      </w:rPr>
                      <m:t>12</m:t>
                    </m:r>
                  </m:sub>
                </m:sSub>
              </m:num>
              <m:den>
                <m:sSub>
                  <m:sSubPr>
                    <m:ctrlPr>
                      <w:rPr>
                        <w:rFonts w:ascii="Cambria Math" w:hAnsi="Cambria Math"/>
                        <w:i/>
                      </w:rPr>
                    </m:ctrlPr>
                  </m:sSubPr>
                  <m:e>
                    <m:r>
                      <w:rPr>
                        <w:rFonts w:ascii="Cambria Math" w:hAnsi="Cambria Math"/>
                      </w:rPr>
                      <m:t>π</m:t>
                    </m:r>
                  </m:e>
                  <m:sub>
                    <m:r>
                      <w:rPr>
                        <w:rFonts w:ascii="Cambria Math" w:hAnsi="Cambria Math"/>
                      </w:rPr>
                      <m:t>14</m:t>
                    </m:r>
                  </m:sub>
                </m:sSub>
              </m:den>
            </m:f>
          </m:e>
        </m:d>
        <m:r>
          <w:rPr>
            <w:rFonts w:ascii="Cambria Math" w:hAnsi="Cambria Math"/>
          </w:rPr>
          <m:t>=-4.2675-</m:t>
        </m:r>
        <m:sSub>
          <m:sSubPr>
            <m:ctrlPr>
              <w:rPr>
                <w:rFonts w:ascii="Cambria Math" w:hAnsi="Cambria Math"/>
                <w:i/>
              </w:rPr>
            </m:ctrlPr>
          </m:sSubPr>
          <m:e>
            <m:r>
              <w:rPr>
                <w:rFonts w:ascii="Cambria Math" w:hAnsi="Cambria Math"/>
              </w:rPr>
              <m:t>9.7694</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9.6081</m:t>
            </m:r>
          </m:e>
          <m:sub>
            <m:r>
              <w:rPr>
                <w:rFonts w:ascii="Cambria Math" w:hAnsi="Cambria Math"/>
              </w:rPr>
              <m:t>5</m:t>
            </m:r>
          </m:sub>
        </m:sSub>
        <m:r>
          <w:rPr>
            <w:rFonts w:ascii="Cambria Math" w:hAnsi="Cambria Math"/>
          </w:rPr>
          <m:t>-</m:t>
        </m:r>
        <m:sSub>
          <m:sSubPr>
            <m:ctrlPr>
              <w:rPr>
                <w:rFonts w:ascii="Cambria Math" w:hAnsi="Cambria Math"/>
                <w:i/>
              </w:rPr>
            </m:ctrlPr>
          </m:sSubPr>
          <m:e>
            <m:r>
              <w:rPr>
                <w:rFonts w:ascii="Cambria Math" w:hAnsi="Cambria Math"/>
              </w:rPr>
              <m:t>11.7877</m:t>
            </m:r>
          </m:e>
          <m:sub>
            <m:r>
              <w:rPr>
                <w:rFonts w:ascii="Cambria Math" w:hAnsi="Cambria Math"/>
              </w:rPr>
              <m:t>6</m:t>
            </m:r>
          </m:sub>
        </m:sSub>
        <m:r>
          <w:rPr>
            <w:rFonts w:ascii="Cambria Math" w:hAnsi="Cambria Math"/>
          </w:rPr>
          <m:t>+</m:t>
        </m:r>
        <m:sSub>
          <m:sSubPr>
            <m:ctrlPr>
              <w:rPr>
                <w:rFonts w:ascii="Cambria Math" w:hAnsi="Cambria Math"/>
                <w:i/>
              </w:rPr>
            </m:ctrlPr>
          </m:sSubPr>
          <m:e>
            <m:r>
              <w:rPr>
                <w:rFonts w:ascii="Cambria Math" w:hAnsi="Cambria Math"/>
              </w:rPr>
              <m:t>4.2675</m:t>
            </m:r>
          </m:e>
          <m:sub>
            <m:r>
              <w:rPr>
                <w:rFonts w:ascii="Cambria Math" w:hAnsi="Cambria Math"/>
              </w:rPr>
              <m:t>10</m:t>
            </m:r>
          </m:sub>
        </m:sSub>
        <m:r>
          <w:rPr>
            <w:rFonts w:ascii="Cambria Math" w:hAnsi="Cambria Math"/>
          </w:rPr>
          <m:t>+</m:t>
        </m:r>
        <m:sSub>
          <m:sSubPr>
            <m:ctrlPr>
              <w:rPr>
                <w:rFonts w:ascii="Cambria Math" w:hAnsi="Cambria Math"/>
                <w:i/>
              </w:rPr>
            </m:ctrlPr>
          </m:sSubPr>
          <m:e>
            <m:r>
              <w:rPr>
                <w:rFonts w:ascii="Cambria Math" w:hAnsi="Cambria Math"/>
              </w:rPr>
              <m:t>19.5509</m:t>
            </m:r>
          </m:e>
          <m:sub>
            <m:r>
              <w:rPr>
                <w:rFonts w:ascii="Cambria Math" w:hAnsi="Cambria Math"/>
              </w:rPr>
              <m:t>11</m:t>
            </m:r>
          </m:sub>
        </m:sSub>
        <m:r>
          <w:rPr>
            <w:rFonts w:ascii="Cambria Math" w:hAnsi="Cambria Math"/>
          </w:rPr>
          <m:t>+</m:t>
        </m:r>
        <m:sSub>
          <m:sSubPr>
            <m:ctrlPr>
              <w:rPr>
                <w:rFonts w:ascii="Cambria Math" w:hAnsi="Cambria Math"/>
                <w:i/>
              </w:rPr>
            </m:ctrlPr>
          </m:sSubPr>
          <m:e>
            <m:r>
              <w:rPr>
                <w:rFonts w:ascii="Cambria Math" w:hAnsi="Cambria Math"/>
              </w:rPr>
              <m:t>5.4307</m:t>
            </m:r>
          </m:e>
          <m:sub>
            <m:r>
              <w:rPr>
                <w:rFonts w:ascii="Cambria Math" w:hAnsi="Cambria Math"/>
              </w:rPr>
              <m:t>12</m:t>
            </m:r>
          </m:sub>
        </m:sSub>
      </m:oMath>
    </w:p>
    <w:p w:rsidR="001D0B56" w:rsidRDefault="00B83C5F" w:rsidP="00B83C5F">
      <w:r>
        <w:t xml:space="preserve">Subscripts after each beta estimate denote the slope for each given mapped class. For a given mapped pixel only 1 beta estimate is applicable. This beta estimate is multiplied by 1 while the rest of the estimates are multiplied by 0 negating their effect on the model (i.e. dummy variables). For example, let’s assume we have a pixel with a map class of 5. The </w:t>
      </w:r>
      <w:proofErr w:type="spellStart"/>
      <w:r>
        <w:t>logits</w:t>
      </w:r>
      <w:proofErr w:type="spellEnd"/>
      <w:r>
        <w:t xml:space="preserve"> simplify down to the following:</w:t>
      </w:r>
    </w:p>
    <w:p w:rsidR="00B83C5F" w:rsidRPr="00960622" w:rsidRDefault="00B83C5F" w:rsidP="00B83C5F">
      <w:pPr>
        <w:pStyle w:val="ListParagraph"/>
        <w:numPr>
          <w:ilvl w:val="0"/>
          <w:numId w:val="2"/>
        </w:numPr>
      </w:pPr>
      <m:oMath>
        <m:r>
          <w:rPr>
            <w:rFonts w:ascii="Cambria Math" w:hAnsi="Cambria Math"/>
          </w:rPr>
          <m:t>LN</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π</m:t>
                    </m:r>
                  </m:e>
                  <m:sub>
                    <m:r>
                      <w:rPr>
                        <w:rFonts w:ascii="Cambria Math" w:hAnsi="Cambria Math"/>
                      </w:rPr>
                      <m:t>1</m:t>
                    </m:r>
                  </m:sub>
                </m:sSub>
              </m:num>
              <m:den>
                <m:sSub>
                  <m:sSubPr>
                    <m:ctrlPr>
                      <w:rPr>
                        <w:rFonts w:ascii="Cambria Math" w:hAnsi="Cambria Math"/>
                        <w:i/>
                      </w:rPr>
                    </m:ctrlPr>
                  </m:sSubPr>
                  <m:e>
                    <m:r>
                      <w:rPr>
                        <w:rFonts w:ascii="Cambria Math" w:hAnsi="Cambria Math"/>
                      </w:rPr>
                      <m:t>π</m:t>
                    </m:r>
                  </m:e>
                  <m:sub>
                    <m:r>
                      <w:rPr>
                        <w:rFonts w:ascii="Cambria Math" w:hAnsi="Cambria Math"/>
                      </w:rPr>
                      <m:t>14</m:t>
                    </m:r>
                  </m:sub>
                </m:sSub>
              </m:den>
            </m:f>
          </m:e>
        </m:d>
        <m:r>
          <w:rPr>
            <w:rFonts w:ascii="Cambria Math" w:hAnsi="Cambria Math"/>
          </w:rPr>
          <m:t>=0.4055</m:t>
        </m:r>
      </m:oMath>
    </w:p>
    <w:p w:rsidR="00B83C5F" w:rsidRPr="00960622" w:rsidRDefault="00B83C5F" w:rsidP="00B83C5F">
      <w:pPr>
        <w:pStyle w:val="ListParagraph"/>
        <w:numPr>
          <w:ilvl w:val="0"/>
          <w:numId w:val="2"/>
        </w:numPr>
      </w:pPr>
      <m:oMath>
        <m:r>
          <w:rPr>
            <w:rFonts w:ascii="Cambria Math" w:hAnsi="Cambria Math"/>
          </w:rPr>
          <m:t>LN</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π</m:t>
                    </m:r>
                  </m:e>
                  <m:sub>
                    <m:r>
                      <w:rPr>
                        <w:rFonts w:ascii="Cambria Math" w:hAnsi="Cambria Math"/>
                      </w:rPr>
                      <m:t>5</m:t>
                    </m:r>
                  </m:sub>
                </m:sSub>
              </m:num>
              <m:den>
                <m:sSub>
                  <m:sSubPr>
                    <m:ctrlPr>
                      <w:rPr>
                        <w:rFonts w:ascii="Cambria Math" w:hAnsi="Cambria Math"/>
                        <w:i/>
                      </w:rPr>
                    </m:ctrlPr>
                  </m:sSubPr>
                  <m:e>
                    <m:r>
                      <w:rPr>
                        <w:rFonts w:ascii="Cambria Math" w:hAnsi="Cambria Math"/>
                      </w:rPr>
                      <m:t>π</m:t>
                    </m:r>
                  </m:e>
                  <m:sub>
                    <m:r>
                      <w:rPr>
                        <w:rFonts w:ascii="Cambria Math" w:hAnsi="Cambria Math"/>
                      </w:rPr>
                      <m:t>14</m:t>
                    </m:r>
                  </m:sub>
                </m:sSub>
              </m:den>
            </m:f>
          </m:e>
        </m:d>
        <m:r>
          <w:rPr>
            <w:rFonts w:ascii="Cambria Math" w:hAnsi="Cambria Math"/>
          </w:rPr>
          <m:t>=2.3514</m:t>
        </m:r>
      </m:oMath>
    </w:p>
    <w:p w:rsidR="00B83C5F" w:rsidRPr="00960622" w:rsidRDefault="00B83C5F" w:rsidP="00B83C5F">
      <w:pPr>
        <w:pStyle w:val="ListParagraph"/>
        <w:numPr>
          <w:ilvl w:val="0"/>
          <w:numId w:val="2"/>
        </w:numPr>
        <w:rPr>
          <w:rFonts w:eastAsiaTheme="minorEastAsia"/>
        </w:rPr>
      </w:pPr>
      <m:oMath>
        <m:r>
          <w:rPr>
            <w:rFonts w:ascii="Cambria Math" w:hAnsi="Cambria Math"/>
          </w:rPr>
          <m:t>LN</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π</m:t>
                    </m:r>
                  </m:e>
                  <m:sub>
                    <m:r>
                      <w:rPr>
                        <w:rFonts w:ascii="Cambria Math" w:hAnsi="Cambria Math"/>
                      </w:rPr>
                      <m:t>6</m:t>
                    </m:r>
                  </m:sub>
                </m:sSub>
              </m:num>
              <m:den>
                <m:sSub>
                  <m:sSubPr>
                    <m:ctrlPr>
                      <w:rPr>
                        <w:rFonts w:ascii="Cambria Math" w:hAnsi="Cambria Math"/>
                        <w:i/>
                      </w:rPr>
                    </m:ctrlPr>
                  </m:sSubPr>
                  <m:e>
                    <m:r>
                      <w:rPr>
                        <w:rFonts w:ascii="Cambria Math" w:hAnsi="Cambria Math"/>
                      </w:rPr>
                      <m:t>π</m:t>
                    </m:r>
                  </m:e>
                  <m:sub>
                    <m:r>
                      <w:rPr>
                        <w:rFonts w:ascii="Cambria Math" w:hAnsi="Cambria Math"/>
                      </w:rPr>
                      <m:t>14</m:t>
                    </m:r>
                  </m:sub>
                </m:sSub>
              </m:den>
            </m:f>
          </m:e>
        </m:d>
        <m:r>
          <w:rPr>
            <w:rFonts w:ascii="Cambria Math" w:hAnsi="Cambria Math"/>
          </w:rPr>
          <m:t>=-0.6931</m:t>
        </m:r>
      </m:oMath>
    </w:p>
    <w:p w:rsidR="00B83C5F" w:rsidRPr="00960622" w:rsidRDefault="00B83C5F" w:rsidP="00B83C5F">
      <w:pPr>
        <w:pStyle w:val="ListParagraph"/>
        <w:numPr>
          <w:ilvl w:val="0"/>
          <w:numId w:val="2"/>
        </w:numPr>
        <w:rPr>
          <w:rFonts w:eastAsiaTheme="minorEastAsia"/>
        </w:rPr>
      </w:pPr>
      <m:oMath>
        <m:r>
          <w:rPr>
            <w:rFonts w:ascii="Cambria Math" w:hAnsi="Cambria Math"/>
          </w:rPr>
          <m:t>LN</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π</m:t>
                    </m:r>
                  </m:e>
                  <m:sub>
                    <m:r>
                      <w:rPr>
                        <w:rFonts w:ascii="Cambria Math" w:hAnsi="Cambria Math"/>
                      </w:rPr>
                      <m:t>10</m:t>
                    </m:r>
                  </m:sub>
                </m:sSub>
              </m:num>
              <m:den>
                <m:sSub>
                  <m:sSubPr>
                    <m:ctrlPr>
                      <w:rPr>
                        <w:rFonts w:ascii="Cambria Math" w:hAnsi="Cambria Math"/>
                        <w:i/>
                      </w:rPr>
                    </m:ctrlPr>
                  </m:sSubPr>
                  <m:e>
                    <m:r>
                      <w:rPr>
                        <w:rFonts w:ascii="Cambria Math" w:hAnsi="Cambria Math"/>
                      </w:rPr>
                      <m:t>π</m:t>
                    </m:r>
                  </m:e>
                  <m:sub>
                    <m:r>
                      <w:rPr>
                        <w:rFonts w:ascii="Cambria Math" w:hAnsi="Cambria Math"/>
                      </w:rPr>
                      <m:t>14</m:t>
                    </m:r>
                  </m:sub>
                </m:sSub>
              </m:den>
            </m:f>
          </m:e>
        </m:d>
        <m:r>
          <w:rPr>
            <w:rFonts w:ascii="Cambria Math" w:hAnsi="Cambria Math"/>
          </w:rPr>
          <m:t>=-0.6932</m:t>
        </m:r>
      </m:oMath>
    </w:p>
    <w:p w:rsidR="00B83C5F" w:rsidRPr="00960622" w:rsidRDefault="00B83C5F" w:rsidP="00B83C5F">
      <w:pPr>
        <w:pStyle w:val="ListParagraph"/>
        <w:numPr>
          <w:ilvl w:val="0"/>
          <w:numId w:val="2"/>
        </w:numPr>
        <w:rPr>
          <w:rFonts w:eastAsiaTheme="minorEastAsia"/>
        </w:rPr>
      </w:pPr>
      <m:oMath>
        <m:r>
          <w:rPr>
            <w:rFonts w:ascii="Cambria Math" w:hAnsi="Cambria Math"/>
          </w:rPr>
          <m:t>LN</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π</m:t>
                    </m:r>
                  </m:e>
                  <m:sub>
                    <m:r>
                      <w:rPr>
                        <w:rFonts w:ascii="Cambria Math" w:hAnsi="Cambria Math"/>
                      </w:rPr>
                      <m:t>11</m:t>
                    </m:r>
                  </m:sub>
                </m:sSub>
              </m:num>
              <m:den>
                <m:sSub>
                  <m:sSubPr>
                    <m:ctrlPr>
                      <w:rPr>
                        <w:rFonts w:ascii="Cambria Math" w:hAnsi="Cambria Math"/>
                        <w:i/>
                      </w:rPr>
                    </m:ctrlPr>
                  </m:sSubPr>
                  <m:e>
                    <m:r>
                      <w:rPr>
                        <w:rFonts w:ascii="Cambria Math" w:hAnsi="Cambria Math"/>
                      </w:rPr>
                      <m:t>π</m:t>
                    </m:r>
                  </m:e>
                  <m:sub>
                    <m:r>
                      <w:rPr>
                        <w:rFonts w:ascii="Cambria Math" w:hAnsi="Cambria Math"/>
                      </w:rPr>
                      <m:t>14</m:t>
                    </m:r>
                  </m:sub>
                </m:sSub>
              </m:den>
            </m:f>
          </m:e>
        </m:d>
        <m:r>
          <w:rPr>
            <w:rFonts w:ascii="Cambria Math" w:hAnsi="Cambria Math"/>
          </w:rPr>
          <m:t>=0</m:t>
        </m:r>
      </m:oMath>
    </w:p>
    <w:p w:rsidR="00B83C5F" w:rsidRPr="00960622" w:rsidRDefault="00B83C5F" w:rsidP="00B83C5F">
      <w:pPr>
        <w:pStyle w:val="ListParagraph"/>
        <w:numPr>
          <w:ilvl w:val="0"/>
          <w:numId w:val="2"/>
        </w:numPr>
        <w:rPr>
          <w:rFonts w:eastAsiaTheme="minorEastAsia"/>
        </w:rPr>
      </w:pPr>
      <m:oMath>
        <m:r>
          <w:rPr>
            <w:rFonts w:ascii="Cambria Math" w:hAnsi="Cambria Math"/>
          </w:rPr>
          <m:t>LN</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π</m:t>
                    </m:r>
                  </m:e>
                  <m:sub>
                    <m:r>
                      <w:rPr>
                        <w:rFonts w:ascii="Cambria Math" w:hAnsi="Cambria Math"/>
                      </w:rPr>
                      <m:t>12</m:t>
                    </m:r>
                  </m:sub>
                </m:sSub>
              </m:num>
              <m:den>
                <m:sSub>
                  <m:sSubPr>
                    <m:ctrlPr>
                      <w:rPr>
                        <w:rFonts w:ascii="Cambria Math" w:hAnsi="Cambria Math"/>
                        <w:i/>
                      </w:rPr>
                    </m:ctrlPr>
                  </m:sSubPr>
                  <m:e>
                    <m:r>
                      <w:rPr>
                        <w:rFonts w:ascii="Cambria Math" w:hAnsi="Cambria Math"/>
                      </w:rPr>
                      <m:t>π</m:t>
                    </m:r>
                  </m:e>
                  <m:sub>
                    <m:r>
                      <w:rPr>
                        <w:rFonts w:ascii="Cambria Math" w:hAnsi="Cambria Math"/>
                      </w:rPr>
                      <m:t>14</m:t>
                    </m:r>
                  </m:sub>
                </m:sSub>
              </m:den>
            </m:f>
          </m:e>
        </m:d>
        <m:r>
          <w:rPr>
            <w:rFonts w:ascii="Cambria Math" w:hAnsi="Cambria Math"/>
          </w:rPr>
          <m:t>=-13.8756</m:t>
        </m:r>
      </m:oMath>
    </w:p>
    <w:p w:rsidR="00B83C5F" w:rsidRDefault="00B83C5F" w:rsidP="00B83C5F">
      <w:r>
        <w:t xml:space="preserve">To calculate probability we manipulate the </w:t>
      </w:r>
      <w:proofErr w:type="spellStart"/>
      <w:r>
        <w:t>logits</w:t>
      </w:r>
      <w:proofErr w:type="spellEnd"/>
      <w:r>
        <w:t xml:space="preserve"> as follows:</w:t>
      </w:r>
    </w:p>
    <w:p w:rsidR="00B83C5F" w:rsidRPr="00960622" w:rsidRDefault="005F77A8" w:rsidP="00B83C5F">
      <w:pPr>
        <w:pStyle w:val="ListParagraph"/>
        <w:numPr>
          <w:ilvl w:val="0"/>
          <w:numId w:val="2"/>
        </w:numPr>
      </w:pPr>
      <m:oMath>
        <m:sSub>
          <m:sSubPr>
            <m:ctrlPr>
              <w:rPr>
                <w:rFonts w:ascii="Cambria Math" w:hAnsi="Cambria Math"/>
                <w:i/>
              </w:rPr>
            </m:ctrlPr>
          </m:sSubPr>
          <m:e>
            <m:r>
              <w:rPr>
                <w:rFonts w:ascii="Cambria Math" w:hAnsi="Cambria Math"/>
              </w:rPr>
              <m:t>π</m:t>
            </m:r>
          </m:e>
          <m:sub>
            <m:r>
              <w:rPr>
                <w:rFonts w:ascii="Cambria Math" w:hAnsi="Cambria Math"/>
              </w:rPr>
              <m:t>1</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e</m:t>
                </m:r>
              </m:e>
              <m:sup>
                <m:r>
                  <w:rPr>
                    <w:rFonts w:ascii="Cambria Math" w:hAnsi="Cambria Math"/>
                  </w:rPr>
                  <m:t>0.4055</m:t>
                </m:r>
              </m:sup>
            </m:sSup>
          </m:num>
          <m:den>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0.4055</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2.3514</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-0.6931</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-0.6932</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-13.8756</m:t>
                </m:r>
              </m:sup>
            </m:sSup>
          </m:den>
        </m:f>
        <m:r>
          <w:rPr>
            <w:rFonts w:ascii="Cambria Math" w:hAnsi="Cambria Math"/>
          </w:rPr>
          <m:t>=0.100</m:t>
        </m:r>
      </m:oMath>
    </w:p>
    <w:p w:rsidR="00F57777" w:rsidRPr="00960622" w:rsidRDefault="005F77A8" w:rsidP="00F57777">
      <w:pPr>
        <w:pStyle w:val="ListParagraph"/>
        <w:numPr>
          <w:ilvl w:val="0"/>
          <w:numId w:val="2"/>
        </w:numPr>
      </w:pPr>
      <m:oMath>
        <m:sSub>
          <m:sSubPr>
            <m:ctrlPr>
              <w:rPr>
                <w:rFonts w:ascii="Cambria Math" w:hAnsi="Cambria Math"/>
                <w:i/>
              </w:rPr>
            </m:ctrlPr>
          </m:sSubPr>
          <m:e>
            <m:r>
              <w:rPr>
                <w:rFonts w:ascii="Cambria Math" w:hAnsi="Cambria Math"/>
              </w:rPr>
              <m:t>π</m:t>
            </m:r>
          </m:e>
          <m:sub>
            <m:r>
              <w:rPr>
                <w:rFonts w:ascii="Cambria Math" w:hAnsi="Cambria Math"/>
              </w:rPr>
              <m:t>5</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e</m:t>
                </m:r>
              </m:e>
              <m:sup>
                <m:r>
                  <w:rPr>
                    <w:rFonts w:ascii="Cambria Math" w:hAnsi="Cambria Math"/>
                  </w:rPr>
                  <m:t>2.3514</m:t>
                </m:r>
              </m:sup>
            </m:sSup>
          </m:num>
          <m:den>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0.4055</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2.3514</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-0.6931</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-0.6932</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-13.8756</m:t>
                </m:r>
              </m:sup>
            </m:sSup>
          </m:den>
        </m:f>
        <m:r>
          <w:rPr>
            <w:rFonts w:ascii="Cambria Math" w:hAnsi="Cambria Math"/>
          </w:rPr>
          <m:t>=0.700</m:t>
        </m:r>
      </m:oMath>
    </w:p>
    <w:p w:rsidR="00F57777" w:rsidRPr="00960622" w:rsidRDefault="005F77A8" w:rsidP="00F57777">
      <w:pPr>
        <w:pStyle w:val="ListParagraph"/>
        <w:numPr>
          <w:ilvl w:val="0"/>
          <w:numId w:val="2"/>
        </w:numPr>
      </w:pPr>
      <m:oMath>
        <m:sSub>
          <m:sSubPr>
            <m:ctrlPr>
              <w:rPr>
                <w:rFonts w:ascii="Cambria Math" w:hAnsi="Cambria Math"/>
                <w:i/>
              </w:rPr>
            </m:ctrlPr>
          </m:sSubPr>
          <m:e>
            <m:r>
              <w:rPr>
                <w:rFonts w:ascii="Cambria Math" w:hAnsi="Cambria Math"/>
              </w:rPr>
              <m:t>π</m:t>
            </m:r>
          </m:e>
          <m:sub>
            <m:r>
              <w:rPr>
                <w:rFonts w:ascii="Cambria Math" w:hAnsi="Cambria Math"/>
              </w:rPr>
              <m:t>6</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e</m:t>
                </m:r>
              </m:e>
              <m:sup>
                <m:r>
                  <w:rPr>
                    <w:rFonts w:ascii="Cambria Math" w:hAnsi="Cambria Math"/>
                  </w:rPr>
                  <m:t>-0.6931</m:t>
                </m:r>
              </m:sup>
            </m:sSup>
          </m:num>
          <m:den>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0.4055</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2.3514</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-0.6931</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-0.6932</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-13.8756</m:t>
                </m:r>
              </m:sup>
            </m:sSup>
          </m:den>
        </m:f>
        <m:r>
          <w:rPr>
            <w:rFonts w:ascii="Cambria Math" w:hAnsi="Cambria Math"/>
          </w:rPr>
          <m:t>=0.033</m:t>
        </m:r>
      </m:oMath>
    </w:p>
    <w:p w:rsidR="00F57777" w:rsidRPr="00960622" w:rsidRDefault="005F77A8" w:rsidP="00F57777">
      <w:pPr>
        <w:pStyle w:val="ListParagraph"/>
        <w:numPr>
          <w:ilvl w:val="0"/>
          <w:numId w:val="2"/>
        </w:numPr>
      </w:pPr>
      <m:oMath>
        <m:sSub>
          <m:sSubPr>
            <m:ctrlPr>
              <w:rPr>
                <w:rFonts w:ascii="Cambria Math" w:hAnsi="Cambria Math"/>
                <w:i/>
              </w:rPr>
            </m:ctrlPr>
          </m:sSubPr>
          <m:e>
            <m:r>
              <w:rPr>
                <w:rFonts w:ascii="Cambria Math" w:hAnsi="Cambria Math"/>
              </w:rPr>
              <m:t>π</m:t>
            </m:r>
          </m:e>
          <m:sub>
            <m:r>
              <w:rPr>
                <w:rFonts w:ascii="Cambria Math" w:hAnsi="Cambria Math"/>
              </w:rPr>
              <m:t>10</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e</m:t>
                </m:r>
              </m:e>
              <m:sup>
                <m:r>
                  <w:rPr>
                    <w:rFonts w:ascii="Cambria Math" w:hAnsi="Cambria Math"/>
                  </w:rPr>
                  <m:t>-0.6932</m:t>
                </m:r>
              </m:sup>
            </m:sSup>
          </m:num>
          <m:den>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0.4055</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2.3514</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-0.6931</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-0.6932</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-13.8756</m:t>
                </m:r>
              </m:sup>
            </m:sSup>
          </m:den>
        </m:f>
        <m:r>
          <w:rPr>
            <w:rFonts w:ascii="Cambria Math" w:hAnsi="Cambria Math"/>
          </w:rPr>
          <m:t>=0.033</m:t>
        </m:r>
      </m:oMath>
    </w:p>
    <w:p w:rsidR="00F57777" w:rsidRPr="00960622" w:rsidRDefault="005F77A8" w:rsidP="00F57777">
      <w:pPr>
        <w:pStyle w:val="ListParagraph"/>
        <w:numPr>
          <w:ilvl w:val="0"/>
          <w:numId w:val="2"/>
        </w:numPr>
      </w:pPr>
      <m:oMath>
        <m:sSub>
          <m:sSubPr>
            <m:ctrlPr>
              <w:rPr>
                <w:rFonts w:ascii="Cambria Math" w:hAnsi="Cambria Math"/>
                <w:i/>
              </w:rPr>
            </m:ctrlPr>
          </m:sSubPr>
          <m:e>
            <m:r>
              <w:rPr>
                <w:rFonts w:ascii="Cambria Math" w:hAnsi="Cambria Math"/>
              </w:rPr>
              <m:t>π</m:t>
            </m:r>
          </m:e>
          <m:sub>
            <m:r>
              <w:rPr>
                <w:rFonts w:ascii="Cambria Math" w:hAnsi="Cambria Math"/>
              </w:rPr>
              <m:t>11</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e</m:t>
                </m:r>
              </m:e>
              <m:sup>
                <m:r>
                  <w:rPr>
                    <w:rFonts w:ascii="Cambria Math" w:hAnsi="Cambria Math"/>
                  </w:rPr>
                  <m:t>0</m:t>
                </m:r>
              </m:sup>
            </m:sSup>
          </m:num>
          <m:den>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0.4055</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2.3514</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-0.6931</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-0.6932</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-13.8756</m:t>
                </m:r>
              </m:sup>
            </m:sSup>
          </m:den>
        </m:f>
        <m:r>
          <w:rPr>
            <w:rFonts w:ascii="Cambria Math" w:hAnsi="Cambria Math"/>
          </w:rPr>
          <m:t>=0.067</m:t>
        </m:r>
      </m:oMath>
    </w:p>
    <w:p w:rsidR="00F57777" w:rsidRPr="00F57777" w:rsidRDefault="005F77A8" w:rsidP="00F57777">
      <w:pPr>
        <w:pStyle w:val="ListParagraph"/>
        <w:numPr>
          <w:ilvl w:val="0"/>
          <w:numId w:val="2"/>
        </w:numPr>
      </w:pPr>
      <m:oMath>
        <m:sSub>
          <m:sSubPr>
            <m:ctrlPr>
              <w:rPr>
                <w:rFonts w:ascii="Cambria Math" w:hAnsi="Cambria Math"/>
                <w:i/>
              </w:rPr>
            </m:ctrlPr>
          </m:sSubPr>
          <m:e>
            <m:r>
              <w:rPr>
                <w:rFonts w:ascii="Cambria Math" w:hAnsi="Cambria Math"/>
              </w:rPr>
              <m:t>π</m:t>
            </m:r>
          </m:e>
          <m:sub>
            <m:r>
              <w:rPr>
                <w:rFonts w:ascii="Cambria Math" w:hAnsi="Cambria Math"/>
              </w:rPr>
              <m:t>12</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e</m:t>
                </m:r>
              </m:e>
              <m:sup>
                <m:r>
                  <w:rPr>
                    <w:rFonts w:ascii="Cambria Math" w:hAnsi="Cambria Math"/>
                  </w:rPr>
                  <m:t>-13.8756</m:t>
                </m:r>
              </m:sup>
            </m:sSup>
          </m:num>
          <m:den>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0.4055</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2.3514</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-0.6931</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-0.6932</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-13.8756</m:t>
                </m:r>
              </m:sup>
            </m:sSup>
          </m:den>
        </m:f>
        <m:r>
          <w:rPr>
            <w:rFonts w:ascii="Cambria Math" w:hAnsi="Cambria Math"/>
          </w:rPr>
          <m:t>=0.000</m:t>
        </m:r>
      </m:oMath>
    </w:p>
    <w:p w:rsidR="00F57777" w:rsidRPr="00960622" w:rsidRDefault="005F77A8" w:rsidP="00F57777">
      <w:pPr>
        <w:pStyle w:val="ListParagraph"/>
        <w:numPr>
          <w:ilvl w:val="0"/>
          <w:numId w:val="2"/>
        </w:numPr>
      </w:pPr>
      <m:oMath>
        <m:sSub>
          <m:sSubPr>
            <m:ctrlPr>
              <w:rPr>
                <w:rFonts w:ascii="Cambria Math" w:hAnsi="Cambria Math"/>
                <w:i/>
              </w:rPr>
            </m:ctrlPr>
          </m:sSubPr>
          <m:e>
            <m:r>
              <w:rPr>
                <w:rFonts w:ascii="Cambria Math" w:hAnsi="Cambria Math"/>
              </w:rPr>
              <m:t>π</m:t>
            </m:r>
          </m:e>
          <m:sub>
            <m:r>
              <w:rPr>
                <w:rFonts w:ascii="Cambria Math" w:hAnsi="Cambria Math"/>
              </w:rPr>
              <m:t>14</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0.4055</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2.3514</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-0.6931</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-0.6932</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0</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-13.8756</m:t>
                </m:r>
              </m:sup>
            </m:sSup>
          </m:den>
        </m:f>
        <m:r>
          <w:rPr>
            <w:rFonts w:ascii="Cambria Math" w:hAnsi="Cambria Math"/>
          </w:rPr>
          <m:t>=0.067</m:t>
        </m:r>
      </m:oMath>
    </w:p>
    <w:p w:rsidR="00B83C5F" w:rsidRDefault="00EF7AA0" w:rsidP="00EF7AA0">
      <w:pPr>
        <w:ind w:left="360"/>
        <w:rPr>
          <w:rFonts w:eastAsiaTheme="minorEastAsia"/>
        </w:rPr>
      </w:pPr>
      <w:r>
        <w:t xml:space="preserve">To generate a confidence intervals around each class’ predicted probabilities we us the delta method to estimate  </w:t>
      </w:r>
      <m:oMath>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π</m:t>
            </m:r>
          </m:e>
          <m:sub>
            <m:r>
              <w:rPr>
                <w:rFonts w:ascii="Cambria Math" w:hAnsi="Cambria Math"/>
              </w:rPr>
              <m:t>i</m:t>
            </m:r>
          </m:sub>
        </m:sSub>
        <m:r>
          <w:rPr>
            <w:rFonts w:ascii="Cambria Math" w:hAnsi="Cambria Math"/>
          </w:rPr>
          <m:t>)</m:t>
        </m:r>
      </m:oMath>
      <w:r>
        <w:rPr>
          <w:rFonts w:eastAsiaTheme="minorEastAsia"/>
        </w:rPr>
        <w:t xml:space="preserve"> and solve as follows</w:t>
      </w:r>
      <m:oMath>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π</m:t>
            </m:r>
          </m:e>
          <m:sub>
            <m:r>
              <w:rPr>
                <w:rFonts w:ascii="Cambria Math" w:eastAsiaTheme="minorEastAsia" w:hAnsi="Cambria Math"/>
              </w:rPr>
              <m:t>i</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α/2</m:t>
            </m:r>
          </m:sub>
        </m:sSub>
        <m:acc>
          <m:accPr>
            <m:chr m:val="̇"/>
            <m:ctrlPr>
              <w:rPr>
                <w:rFonts w:ascii="Cambria Math" w:eastAsiaTheme="minorEastAsia" w:hAnsi="Cambria Math"/>
                <w:i/>
              </w:rPr>
            </m:ctrlPr>
          </m:accPr>
          <m:e>
            <m:r>
              <w:rPr>
                <w:rFonts w:ascii="Cambria Math" w:eastAsiaTheme="minorEastAsia" w:hAnsi="Cambria Math"/>
              </w:rPr>
              <m:t>σ</m:t>
            </m:r>
          </m:e>
        </m:acc>
        <m:d>
          <m:dPr>
            <m:ctrlPr>
              <w:rPr>
                <w:rFonts w:ascii="Cambria Math" w:eastAsiaTheme="minorEastAsia" w:hAnsi="Cambria Math"/>
                <w:i/>
              </w:rPr>
            </m:ctrlPr>
          </m:dPr>
          <m:e>
            <m:sSub>
              <m:sSubPr>
                <m:ctrlPr>
                  <w:rPr>
                    <w:rFonts w:ascii="Cambria Math" w:eastAsiaTheme="minorEastAsia" w:hAnsi="Cambria Math"/>
                    <w:i/>
                  </w:rPr>
                </m:ctrlPr>
              </m:sSubPr>
              <m:e>
                <m:acc>
                  <m:accPr>
                    <m:ctrlPr>
                      <w:rPr>
                        <w:rFonts w:ascii="Cambria Math" w:eastAsiaTheme="minorEastAsia" w:hAnsi="Cambria Math"/>
                        <w:i/>
                      </w:rPr>
                    </m:ctrlPr>
                  </m:accPr>
                  <m:e>
                    <m:r>
                      <w:rPr>
                        <w:rFonts w:ascii="Cambria Math" w:eastAsiaTheme="minorEastAsia" w:hAnsi="Cambria Math"/>
                      </w:rPr>
                      <m:t>π</m:t>
                    </m:r>
                  </m:e>
                </m:acc>
              </m:e>
              <m:sub>
                <m:r>
                  <w:rPr>
                    <w:rFonts w:ascii="Cambria Math" w:eastAsiaTheme="minorEastAsia" w:hAnsi="Cambria Math"/>
                  </w:rPr>
                  <m:t>i</m:t>
                </m:r>
              </m:sub>
            </m:sSub>
          </m:e>
        </m:d>
      </m:oMath>
      <w:r w:rsidR="00D345D7">
        <w:rPr>
          <w:rFonts w:eastAsiaTheme="minorEastAsia"/>
        </w:rPr>
        <w:t xml:space="preserve">. Fortunately, user predicted, lower and upper confidence limits probabilities are calculated for you using the </w:t>
      </w:r>
      <w:r w:rsidR="006F53B6">
        <w:rPr>
          <w:rFonts w:eastAsiaTheme="minorEastAsia"/>
        </w:rPr>
        <w:t>“</w:t>
      </w:r>
      <w:r w:rsidR="00D345D7">
        <w:rPr>
          <w:rFonts w:eastAsiaTheme="minorEastAsia"/>
        </w:rPr>
        <w:t>Accuracy Assessment</w:t>
      </w:r>
      <w:r w:rsidR="006F53B6">
        <w:rPr>
          <w:rFonts w:eastAsiaTheme="minorEastAsia"/>
        </w:rPr>
        <w:t>”</w:t>
      </w:r>
      <w:r w:rsidR="00D345D7">
        <w:rPr>
          <w:rFonts w:eastAsiaTheme="minorEastAsia"/>
        </w:rPr>
        <w:t xml:space="preserve"> tool. To view these estimates open the </w:t>
      </w:r>
      <w:r w:rsidR="006F53B6">
        <w:rPr>
          <w:rFonts w:eastAsiaTheme="minorEastAsia"/>
        </w:rPr>
        <w:t>“</w:t>
      </w:r>
      <w:r w:rsidR="00D345D7">
        <w:rPr>
          <w:rFonts w:eastAsiaTheme="minorEastAsia"/>
        </w:rPr>
        <w:t>CCCD</w:t>
      </w:r>
      <w:r w:rsidR="006F53B6">
        <w:rPr>
          <w:rFonts w:eastAsiaTheme="minorEastAsia"/>
        </w:rPr>
        <w:t>”</w:t>
      </w:r>
      <w:r w:rsidR="00D345D7">
        <w:rPr>
          <w:rFonts w:eastAsiaTheme="minorEastAsia"/>
        </w:rPr>
        <w:t xml:space="preserve"> attribute table by right </w:t>
      </w:r>
      <w:r w:rsidR="0059283E">
        <w:rPr>
          <w:rFonts w:eastAsiaTheme="minorEastAsia"/>
        </w:rPr>
        <w:t xml:space="preserve">clicking on the raster layer (note, estimates are using the weighted training data not the weighted </w:t>
      </w:r>
      <w:r w:rsidR="00824377">
        <w:rPr>
          <w:rFonts w:eastAsiaTheme="minorEastAsia"/>
        </w:rPr>
        <w:t>validation data and may</w:t>
      </w:r>
      <w:r w:rsidR="0059283E">
        <w:rPr>
          <w:rFonts w:eastAsiaTheme="minorEastAsia"/>
        </w:rPr>
        <w:t xml:space="preserve"> vary from the results explained above).</w:t>
      </w:r>
    </w:p>
    <w:p w:rsidR="0059283E" w:rsidRDefault="0059283E" w:rsidP="00EF7AA0">
      <w:pPr>
        <w:ind w:left="360"/>
      </w:pPr>
      <w:r>
        <w:rPr>
          <w:noProof/>
        </w:rPr>
        <w:lastRenderedPageBreak/>
        <w:drawing>
          <wp:inline distT="0" distB="0" distL="0" distR="0" wp14:anchorId="20F2390D" wp14:editId="778B926A">
            <wp:extent cx="5943600" cy="106045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1060450"/>
                    </a:xfrm>
                    <a:prstGeom prst="rect">
                      <a:avLst/>
                    </a:prstGeom>
                  </pic:spPr>
                </pic:pic>
              </a:graphicData>
            </a:graphic>
          </wp:inline>
        </w:drawing>
      </w:r>
    </w:p>
    <w:p w:rsidR="0052008C" w:rsidRDefault="0059283E" w:rsidP="00EF7AA0">
      <w:pPr>
        <w:ind w:left="360"/>
      </w:pPr>
      <w:r>
        <w:t>After opening the CCCD attribute table</w:t>
      </w:r>
      <w:r w:rsidR="00A66365">
        <w:t xml:space="preserve"> you should notice a number of new fields. Fields with the prefix “P” denote the predicted probabilities (user probabilities) of each field verified category. Categories can be identified following the underscore of each field name. A prefix of </w:t>
      </w:r>
      <w:r w:rsidR="006F53B6">
        <w:t>“</w:t>
      </w:r>
      <w:r w:rsidR="00A66365">
        <w:t>LCL</w:t>
      </w:r>
      <w:r w:rsidR="006F53B6">
        <w:t>”</w:t>
      </w:r>
      <w:r w:rsidR="00A66365">
        <w:t xml:space="preserve"> denotes the lower confidence limit while a prefix of </w:t>
      </w:r>
      <w:r w:rsidR="006F53B6">
        <w:t>“</w:t>
      </w:r>
      <w:r w:rsidR="00A66365">
        <w:t>UCL</w:t>
      </w:r>
      <w:r w:rsidR="006F53B6">
        <w:t>”</w:t>
      </w:r>
      <w:r w:rsidR="00A66365">
        <w:t xml:space="preserve"> denotes the upper confidence limit of user probabilities. The final step to creating an error matrix with confidence intervals is to multiply each user probability by its corresponding abundance (the Count Field)</w:t>
      </w:r>
      <w:r w:rsidR="0052008C">
        <w:t>, thereby estimating each cell’s predicted lower and upper frequency</w:t>
      </w:r>
      <w:r w:rsidR="00A66365">
        <w:t>. This can be done in a number of different software packages including ESRI</w:t>
      </w:r>
      <w:r w:rsidR="006F53B6">
        <w:t>,</w:t>
      </w:r>
      <w:r w:rsidR="00A66365">
        <w:t xml:space="preserve"> but </w:t>
      </w:r>
      <w:r w:rsidR="0052008C">
        <w:t>is probably easier to manipulate in a spreadsheet program such as Excel.</w:t>
      </w:r>
      <w:r w:rsidR="00A66365">
        <w:t xml:space="preserve"> </w:t>
      </w:r>
      <w:r w:rsidR="0052008C">
        <w:t xml:space="preserve">To export the </w:t>
      </w:r>
      <w:r w:rsidR="006F53B6">
        <w:t>“</w:t>
      </w:r>
      <w:r w:rsidR="0052008C">
        <w:t>CCCD</w:t>
      </w:r>
      <w:r w:rsidR="006F53B6">
        <w:t>”</w:t>
      </w:r>
      <w:r w:rsidR="0052008C">
        <w:t xml:space="preserve"> table to Excel left click the table properties dropdown and click on Export. </w:t>
      </w:r>
    </w:p>
    <w:p w:rsidR="0059283E" w:rsidRDefault="0052008C" w:rsidP="0052008C">
      <w:pPr>
        <w:ind w:left="360"/>
        <w:jc w:val="center"/>
      </w:pPr>
      <w:r>
        <w:rPr>
          <w:noProof/>
        </w:rPr>
        <w:drawing>
          <wp:inline distT="0" distB="0" distL="0" distR="0" wp14:anchorId="62EA1B1D" wp14:editId="24369E05">
            <wp:extent cx="2532093" cy="2057711"/>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533526" cy="2058875"/>
                    </a:xfrm>
                    <a:prstGeom prst="rect">
                      <a:avLst/>
                    </a:prstGeom>
                  </pic:spPr>
                </pic:pic>
              </a:graphicData>
            </a:graphic>
          </wp:inline>
        </w:drawing>
      </w:r>
      <w:r>
        <w:rPr>
          <w:noProof/>
        </w:rPr>
        <w:drawing>
          <wp:inline distT="0" distB="0" distL="0" distR="0" wp14:anchorId="2CC99A13" wp14:editId="26C7126D">
            <wp:extent cx="3059895" cy="2052000"/>
            <wp:effectExtent l="0" t="0" r="762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061555" cy="2053113"/>
                    </a:xfrm>
                    <a:prstGeom prst="rect">
                      <a:avLst/>
                    </a:prstGeom>
                  </pic:spPr>
                </pic:pic>
              </a:graphicData>
            </a:graphic>
          </wp:inline>
        </w:drawing>
      </w:r>
    </w:p>
    <w:p w:rsidR="0052008C" w:rsidRDefault="0052008C" w:rsidP="0052008C">
      <w:pPr>
        <w:ind w:left="360"/>
      </w:pPr>
      <w:r>
        <w:t xml:space="preserve">Next, click on the open output button and navigate to the </w:t>
      </w:r>
      <w:r w:rsidR="006F53B6">
        <w:t>“</w:t>
      </w:r>
      <w:proofErr w:type="spellStart"/>
      <w:r>
        <w:t>AccuracyAssessment</w:t>
      </w:r>
      <w:proofErr w:type="spellEnd"/>
      <w:r w:rsidR="006F53B6">
        <w:t>”</w:t>
      </w:r>
      <w:r>
        <w:t xml:space="preserve"> directory. Type in </w:t>
      </w:r>
      <w:r w:rsidR="006F53B6">
        <w:t>“</w:t>
      </w:r>
      <w:r>
        <w:t>AccuracyAssessmentResults.csv</w:t>
      </w:r>
      <w:r w:rsidR="006F53B6">
        <w:t>”</w:t>
      </w:r>
      <w:r>
        <w:t xml:space="preserve"> and click the Save button. Finally, click on the OK button of the </w:t>
      </w:r>
      <w:r w:rsidR="006F53B6">
        <w:t>“</w:t>
      </w:r>
      <w:r>
        <w:t>Export Data</w:t>
      </w:r>
      <w:r w:rsidR="006F53B6">
        <w:t>”</w:t>
      </w:r>
      <w:r>
        <w:t xml:space="preserve"> form. When prompted don’t open the table in the current map. Instead open </w:t>
      </w:r>
      <w:r w:rsidR="006A34B1">
        <w:t xml:space="preserve">this file with Microsoft </w:t>
      </w:r>
      <w:r>
        <w:t>Excel</w:t>
      </w:r>
      <w:r w:rsidR="006A34B1">
        <w:t xml:space="preserve"> (remember to select .</w:t>
      </w:r>
      <w:proofErr w:type="spellStart"/>
      <w:r w:rsidR="006A34B1">
        <w:t>csv</w:t>
      </w:r>
      <w:proofErr w:type="spellEnd"/>
      <w:r w:rsidR="006A34B1">
        <w:t xml:space="preserve"> as the extension) and multiply each probability by its corresponding Count to produce the following frequency table. </w:t>
      </w:r>
      <w:r>
        <w:t xml:space="preserve"> </w:t>
      </w:r>
    </w:p>
    <w:tbl>
      <w:tblPr>
        <w:tblW w:w="0" w:type="auto"/>
        <w:tblInd w:w="93" w:type="dxa"/>
        <w:tblLook w:val="04A0" w:firstRow="1" w:lastRow="0" w:firstColumn="1" w:lastColumn="0" w:noHBand="0" w:noVBand="1"/>
      </w:tblPr>
      <w:tblGrid>
        <w:gridCol w:w="849"/>
        <w:gridCol w:w="940"/>
        <w:gridCol w:w="940"/>
        <w:gridCol w:w="1107"/>
        <w:gridCol w:w="1107"/>
        <w:gridCol w:w="1107"/>
        <w:gridCol w:w="1107"/>
        <w:gridCol w:w="940"/>
        <w:gridCol w:w="1218"/>
      </w:tblGrid>
      <w:tr w:rsidR="004B3405" w:rsidRPr="004B3405" w:rsidTr="004B3405">
        <w:trPr>
          <w:trHeight w:val="300"/>
        </w:trPr>
        <w:tc>
          <w:tcPr>
            <w:tcW w:w="0" w:type="auto"/>
            <w:tcBorders>
              <w:top w:val="nil"/>
              <w:left w:val="nil"/>
              <w:bottom w:val="nil"/>
              <w:right w:val="nil"/>
            </w:tcBorders>
            <w:shd w:val="clear" w:color="auto" w:fill="auto"/>
            <w:noWrap/>
            <w:vAlign w:val="bottom"/>
            <w:hideMark/>
          </w:tcPr>
          <w:p w:rsidR="004B3405" w:rsidRPr="004B3405" w:rsidRDefault="004B3405" w:rsidP="004B3405">
            <w:pPr>
              <w:spacing w:after="0" w:line="240" w:lineRule="auto"/>
              <w:rPr>
                <w:rFonts w:ascii="Calibri" w:eastAsia="Times New Roman" w:hAnsi="Calibri" w:cs="Calibri"/>
                <w:color w:val="000000"/>
              </w:rPr>
            </w:pPr>
            <w:r w:rsidRPr="004B3405">
              <w:rPr>
                <w:rFonts w:ascii="Calibri" w:eastAsia="Times New Roman" w:hAnsi="Calibri" w:cs="Calibri"/>
                <w:color w:val="000000"/>
              </w:rPr>
              <w:t>Upper</w:t>
            </w:r>
          </w:p>
        </w:tc>
        <w:tc>
          <w:tcPr>
            <w:tcW w:w="0" w:type="auto"/>
            <w:tcBorders>
              <w:top w:val="nil"/>
              <w:left w:val="nil"/>
              <w:bottom w:val="nil"/>
              <w:right w:val="nil"/>
            </w:tcBorders>
            <w:shd w:val="clear" w:color="auto" w:fill="auto"/>
            <w:noWrap/>
            <w:vAlign w:val="bottom"/>
            <w:hideMark/>
          </w:tcPr>
          <w:p w:rsidR="004B3405" w:rsidRPr="004B3405" w:rsidRDefault="004B3405" w:rsidP="004B3405">
            <w:pPr>
              <w:spacing w:after="0" w:line="240" w:lineRule="auto"/>
              <w:rPr>
                <w:rFonts w:ascii="Calibri" w:eastAsia="Times New Roman" w:hAnsi="Calibri" w:cs="Calibri"/>
                <w:color w:val="000000"/>
              </w:rPr>
            </w:pPr>
          </w:p>
        </w:tc>
        <w:tc>
          <w:tcPr>
            <w:tcW w:w="0" w:type="auto"/>
            <w:tcBorders>
              <w:top w:val="nil"/>
              <w:left w:val="nil"/>
              <w:bottom w:val="nil"/>
              <w:right w:val="nil"/>
            </w:tcBorders>
            <w:shd w:val="clear" w:color="auto" w:fill="auto"/>
            <w:noWrap/>
            <w:vAlign w:val="bottom"/>
            <w:hideMark/>
          </w:tcPr>
          <w:p w:rsidR="004B3405" w:rsidRPr="004B3405" w:rsidRDefault="004B3405" w:rsidP="004B3405">
            <w:pPr>
              <w:spacing w:after="0" w:line="240" w:lineRule="auto"/>
              <w:rPr>
                <w:rFonts w:ascii="Calibri" w:eastAsia="Times New Roman" w:hAnsi="Calibri" w:cs="Calibri"/>
                <w:color w:val="000000"/>
              </w:rPr>
            </w:pPr>
          </w:p>
        </w:tc>
        <w:tc>
          <w:tcPr>
            <w:tcW w:w="0" w:type="auto"/>
            <w:tcBorders>
              <w:top w:val="nil"/>
              <w:left w:val="nil"/>
              <w:bottom w:val="nil"/>
              <w:right w:val="nil"/>
            </w:tcBorders>
            <w:shd w:val="clear" w:color="auto" w:fill="auto"/>
            <w:noWrap/>
            <w:vAlign w:val="bottom"/>
            <w:hideMark/>
          </w:tcPr>
          <w:p w:rsidR="004B3405" w:rsidRPr="004B3405" w:rsidRDefault="004B3405" w:rsidP="004B3405">
            <w:pPr>
              <w:spacing w:after="0" w:line="240" w:lineRule="auto"/>
              <w:rPr>
                <w:rFonts w:ascii="Calibri" w:eastAsia="Times New Roman" w:hAnsi="Calibri" w:cs="Calibri"/>
                <w:color w:val="000000"/>
              </w:rPr>
            </w:pPr>
          </w:p>
        </w:tc>
        <w:tc>
          <w:tcPr>
            <w:tcW w:w="0" w:type="auto"/>
            <w:tcBorders>
              <w:top w:val="nil"/>
              <w:left w:val="nil"/>
              <w:bottom w:val="nil"/>
              <w:right w:val="nil"/>
            </w:tcBorders>
            <w:shd w:val="clear" w:color="auto" w:fill="auto"/>
            <w:noWrap/>
            <w:vAlign w:val="bottom"/>
            <w:hideMark/>
          </w:tcPr>
          <w:p w:rsidR="004B3405" w:rsidRPr="004B3405" w:rsidRDefault="004B3405" w:rsidP="004B3405">
            <w:pPr>
              <w:spacing w:after="0" w:line="240" w:lineRule="auto"/>
              <w:rPr>
                <w:rFonts w:ascii="Calibri" w:eastAsia="Times New Roman" w:hAnsi="Calibri" w:cs="Calibri"/>
                <w:color w:val="000000"/>
              </w:rPr>
            </w:pPr>
          </w:p>
        </w:tc>
        <w:tc>
          <w:tcPr>
            <w:tcW w:w="0" w:type="auto"/>
            <w:tcBorders>
              <w:top w:val="nil"/>
              <w:left w:val="nil"/>
              <w:bottom w:val="nil"/>
              <w:right w:val="nil"/>
            </w:tcBorders>
            <w:shd w:val="clear" w:color="auto" w:fill="auto"/>
            <w:noWrap/>
            <w:vAlign w:val="bottom"/>
            <w:hideMark/>
          </w:tcPr>
          <w:p w:rsidR="004B3405" w:rsidRPr="004B3405" w:rsidRDefault="004B3405" w:rsidP="004B3405">
            <w:pPr>
              <w:spacing w:after="0" w:line="240" w:lineRule="auto"/>
              <w:rPr>
                <w:rFonts w:ascii="Calibri" w:eastAsia="Times New Roman" w:hAnsi="Calibri" w:cs="Calibri"/>
                <w:color w:val="000000"/>
              </w:rPr>
            </w:pPr>
          </w:p>
        </w:tc>
        <w:tc>
          <w:tcPr>
            <w:tcW w:w="0" w:type="auto"/>
            <w:tcBorders>
              <w:top w:val="nil"/>
              <w:left w:val="nil"/>
              <w:bottom w:val="nil"/>
              <w:right w:val="nil"/>
            </w:tcBorders>
            <w:shd w:val="clear" w:color="auto" w:fill="auto"/>
            <w:noWrap/>
            <w:vAlign w:val="bottom"/>
            <w:hideMark/>
          </w:tcPr>
          <w:p w:rsidR="004B3405" w:rsidRPr="004B3405" w:rsidRDefault="004B3405" w:rsidP="004B3405">
            <w:pPr>
              <w:spacing w:after="0" w:line="240" w:lineRule="auto"/>
              <w:rPr>
                <w:rFonts w:ascii="Calibri" w:eastAsia="Times New Roman" w:hAnsi="Calibri" w:cs="Calibri"/>
                <w:color w:val="000000"/>
              </w:rPr>
            </w:pPr>
          </w:p>
        </w:tc>
        <w:tc>
          <w:tcPr>
            <w:tcW w:w="0" w:type="auto"/>
            <w:tcBorders>
              <w:top w:val="nil"/>
              <w:left w:val="nil"/>
              <w:bottom w:val="nil"/>
              <w:right w:val="nil"/>
            </w:tcBorders>
            <w:shd w:val="clear" w:color="auto" w:fill="auto"/>
            <w:noWrap/>
            <w:vAlign w:val="bottom"/>
            <w:hideMark/>
          </w:tcPr>
          <w:p w:rsidR="004B3405" w:rsidRPr="004B3405" w:rsidRDefault="004B3405" w:rsidP="004B3405">
            <w:pPr>
              <w:spacing w:after="0" w:line="240" w:lineRule="auto"/>
              <w:rPr>
                <w:rFonts w:ascii="Calibri" w:eastAsia="Times New Roman" w:hAnsi="Calibri" w:cs="Calibri"/>
                <w:color w:val="000000"/>
              </w:rPr>
            </w:pPr>
          </w:p>
        </w:tc>
        <w:tc>
          <w:tcPr>
            <w:tcW w:w="0" w:type="auto"/>
            <w:tcBorders>
              <w:top w:val="nil"/>
              <w:left w:val="nil"/>
              <w:bottom w:val="nil"/>
              <w:right w:val="nil"/>
            </w:tcBorders>
            <w:shd w:val="clear" w:color="auto" w:fill="auto"/>
            <w:noWrap/>
            <w:vAlign w:val="bottom"/>
            <w:hideMark/>
          </w:tcPr>
          <w:p w:rsidR="004B3405" w:rsidRPr="004B3405" w:rsidRDefault="004B3405" w:rsidP="004B3405">
            <w:pPr>
              <w:spacing w:after="0" w:line="240" w:lineRule="auto"/>
              <w:rPr>
                <w:rFonts w:ascii="Calibri" w:eastAsia="Times New Roman" w:hAnsi="Calibri" w:cs="Calibri"/>
                <w:color w:val="000000"/>
              </w:rPr>
            </w:pPr>
          </w:p>
        </w:tc>
      </w:tr>
      <w:tr w:rsidR="004B3405" w:rsidRPr="004B3405" w:rsidTr="004B3405">
        <w:trPr>
          <w:trHeight w:val="300"/>
        </w:trPr>
        <w:tc>
          <w:tcPr>
            <w:tcW w:w="0" w:type="auto"/>
            <w:tcBorders>
              <w:top w:val="nil"/>
              <w:left w:val="nil"/>
              <w:bottom w:val="nil"/>
              <w:right w:val="nil"/>
            </w:tcBorders>
            <w:shd w:val="clear" w:color="auto" w:fill="auto"/>
            <w:noWrap/>
            <w:vAlign w:val="bottom"/>
            <w:hideMark/>
          </w:tcPr>
          <w:p w:rsidR="004B3405" w:rsidRPr="004B3405" w:rsidRDefault="004B3405" w:rsidP="004B3405">
            <w:pPr>
              <w:spacing w:after="0" w:line="240" w:lineRule="auto"/>
              <w:rPr>
                <w:rFonts w:ascii="Calibri" w:eastAsia="Times New Roman" w:hAnsi="Calibri" w:cs="Calibri"/>
                <w:color w:val="000000"/>
              </w:rPr>
            </w:pPr>
            <w:r w:rsidRPr="004B3405">
              <w:rPr>
                <w:rFonts w:ascii="Calibri" w:eastAsia="Times New Roman" w:hAnsi="Calibri" w:cs="Calibri"/>
                <w:color w:val="000000"/>
              </w:rPr>
              <w:t>Pred</w:t>
            </w:r>
            <w:r>
              <w:rPr>
                <w:rFonts w:ascii="Calibri" w:eastAsia="Times New Roman" w:hAnsi="Calibri" w:cs="Calibri"/>
                <w:color w:val="000000"/>
              </w:rPr>
              <w:t>ict</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5</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6</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10</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11</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12</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14</w:t>
            </w:r>
          </w:p>
        </w:tc>
        <w:tc>
          <w:tcPr>
            <w:tcW w:w="0" w:type="auto"/>
            <w:tcBorders>
              <w:top w:val="nil"/>
              <w:left w:val="nil"/>
              <w:bottom w:val="nil"/>
              <w:right w:val="nil"/>
            </w:tcBorders>
            <w:shd w:val="clear" w:color="auto" w:fill="auto"/>
            <w:noWrap/>
            <w:vAlign w:val="bottom"/>
            <w:hideMark/>
          </w:tcPr>
          <w:p w:rsidR="004B3405" w:rsidRPr="004B3405" w:rsidRDefault="004B3405" w:rsidP="004B3405">
            <w:pPr>
              <w:spacing w:after="0" w:line="240" w:lineRule="auto"/>
              <w:rPr>
                <w:rFonts w:ascii="Calibri" w:eastAsia="Times New Roman" w:hAnsi="Calibri" w:cs="Calibri"/>
                <w:color w:val="000000"/>
              </w:rPr>
            </w:pPr>
          </w:p>
        </w:tc>
      </w:tr>
      <w:tr w:rsidR="004B3405" w:rsidRPr="004B3405" w:rsidTr="004B3405">
        <w:trPr>
          <w:trHeight w:val="300"/>
        </w:trPr>
        <w:tc>
          <w:tcPr>
            <w:tcW w:w="0" w:type="auto"/>
            <w:tcBorders>
              <w:top w:val="nil"/>
              <w:left w:val="nil"/>
              <w:bottom w:val="nil"/>
              <w:right w:val="nil"/>
            </w:tcBorders>
            <w:shd w:val="clear" w:color="auto" w:fill="auto"/>
            <w:noWrap/>
            <w:vAlign w:val="bottom"/>
            <w:hideMark/>
          </w:tcPr>
          <w:p w:rsidR="004B3405" w:rsidRPr="004B3405" w:rsidRDefault="004B3405" w:rsidP="004B3405">
            <w:pPr>
              <w:spacing w:after="0" w:line="240" w:lineRule="auto"/>
              <w:rPr>
                <w:rFonts w:ascii="Calibri" w:eastAsia="Times New Roman" w:hAnsi="Calibri" w:cs="Calibri"/>
                <w:color w:val="000000"/>
              </w:rPr>
            </w:pPr>
            <w:r w:rsidRPr="004B3405">
              <w:rPr>
                <w:rFonts w:ascii="Calibri" w:eastAsia="Times New Roman" w:hAnsi="Calibri" w:cs="Calibri"/>
                <w:color w:val="000000"/>
              </w:rPr>
              <w:t>Lower</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single" w:sz="4" w:space="0" w:color="auto"/>
              <w:left w:val="single" w:sz="4" w:space="0" w:color="auto"/>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46,689</w:t>
            </w:r>
          </w:p>
        </w:tc>
        <w:tc>
          <w:tcPr>
            <w:tcW w:w="0" w:type="auto"/>
            <w:tcBorders>
              <w:top w:val="single" w:sz="4" w:space="0" w:color="auto"/>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5,314</w:t>
            </w:r>
          </w:p>
        </w:tc>
        <w:tc>
          <w:tcPr>
            <w:tcW w:w="0" w:type="auto"/>
            <w:tcBorders>
              <w:top w:val="single" w:sz="4" w:space="0" w:color="auto"/>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5,314</w:t>
            </w:r>
          </w:p>
        </w:tc>
        <w:tc>
          <w:tcPr>
            <w:tcW w:w="0" w:type="auto"/>
            <w:tcBorders>
              <w:top w:val="single" w:sz="4" w:space="0" w:color="auto"/>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15,887</w:t>
            </w:r>
          </w:p>
        </w:tc>
        <w:tc>
          <w:tcPr>
            <w:tcW w:w="0" w:type="auto"/>
            <w:tcBorders>
              <w:top w:val="single" w:sz="4" w:space="0" w:color="auto"/>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6</w:t>
            </w:r>
          </w:p>
        </w:tc>
        <w:tc>
          <w:tcPr>
            <w:tcW w:w="0" w:type="auto"/>
            <w:tcBorders>
              <w:top w:val="single" w:sz="4" w:space="0" w:color="auto"/>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20,264</w:t>
            </w:r>
          </w:p>
        </w:tc>
        <w:tc>
          <w:tcPr>
            <w:tcW w:w="0" w:type="auto"/>
            <w:tcBorders>
              <w:top w:val="single" w:sz="4" w:space="0" w:color="auto"/>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8,390</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101,864</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w:t>
            </w:r>
          </w:p>
        </w:tc>
        <w:tc>
          <w:tcPr>
            <w:tcW w:w="0" w:type="auto"/>
            <w:tcBorders>
              <w:top w:val="nil"/>
              <w:left w:val="single" w:sz="4" w:space="0" w:color="auto"/>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35,298</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1,616</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1,616</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8,079</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11,311</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3,232</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61,152</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23,908</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272</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2,358</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26,538</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single" w:sz="4" w:space="0" w:color="auto"/>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8,587</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36,455</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9,521</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20</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12,255</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6,651</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5,090</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78,579</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5</w:t>
            </w:r>
          </w:p>
        </w:tc>
        <w:tc>
          <w:tcPr>
            <w:tcW w:w="0" w:type="auto"/>
            <w:tcBorders>
              <w:top w:val="nil"/>
              <w:left w:val="single" w:sz="4" w:space="0" w:color="auto"/>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2,957</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26,016</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3,465</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5,082</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1,982</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1,290</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40,793</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15,578</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15,578</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single" w:sz="4" w:space="0" w:color="auto"/>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48,042</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48,957</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330,907</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48,042</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43,625</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62,609</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37,866</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620,049</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6</w:t>
            </w:r>
          </w:p>
        </w:tc>
        <w:tc>
          <w:tcPr>
            <w:tcW w:w="0" w:type="auto"/>
            <w:tcBorders>
              <w:top w:val="nil"/>
              <w:left w:val="single" w:sz="4" w:space="0" w:color="auto"/>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30,914</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31,643</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296,824</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30,914</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27,429</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42,735</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22,972</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483,431</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13,786</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14,328</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262,742</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13,786</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11,233</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22,862</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8,078</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346,812</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single" w:sz="4" w:space="0" w:color="auto"/>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232,471</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310,136</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274,907</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1,897,000</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214,426</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235,340</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297,910</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3,462,189</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10</w:t>
            </w:r>
          </w:p>
        </w:tc>
        <w:tc>
          <w:tcPr>
            <w:tcW w:w="0" w:type="auto"/>
            <w:tcBorders>
              <w:top w:val="nil"/>
              <w:left w:val="single" w:sz="4" w:space="0" w:color="auto"/>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189,997</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260,967</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228,626</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1,809,618</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173,701</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192,596</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249,720</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3,105,227</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147,527</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211,802</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182,346</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1,722,237</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132,979</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149,856</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201,530</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2,748,276</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single" w:sz="4" w:space="0" w:color="auto"/>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97,102</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88,767</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76,962</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69,513</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598,238</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61,302</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120,849</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1,112,733</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11</w:t>
            </w:r>
          </w:p>
        </w:tc>
        <w:tc>
          <w:tcPr>
            <w:tcW w:w="0" w:type="auto"/>
            <w:tcBorders>
              <w:top w:val="nil"/>
              <w:left w:val="single" w:sz="4" w:space="0" w:color="auto"/>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71,762</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64,620</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54,632</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48,417</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551,755</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41,657</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92,440</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925,283</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46,423</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40,474</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32,301</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27,320</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505,273</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22,014</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64,031</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737,835</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single" w:sz="4" w:space="0" w:color="auto"/>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354,785</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437,987</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415,471</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401,639</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400,659</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2,977,659</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483,157</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5,471,358</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12</w:t>
            </w:r>
          </w:p>
        </w:tc>
        <w:tc>
          <w:tcPr>
            <w:tcW w:w="0" w:type="auto"/>
            <w:tcBorders>
              <w:top w:val="nil"/>
              <w:left w:val="single" w:sz="4" w:space="0" w:color="auto"/>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302,640</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380,033</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359,015</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346,127</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345,218</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2,869,184</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422,340</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5,024,558</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250,495</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322,075</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302,559</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290,616</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289,777</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2,760,704</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361,523</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4,577,748</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single" w:sz="4" w:space="0" w:color="auto"/>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8,493</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5,506</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5,506</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22</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13,319</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10,171</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33,327</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76,344</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14</w:t>
            </w:r>
          </w:p>
        </w:tc>
        <w:tc>
          <w:tcPr>
            <w:tcW w:w="0" w:type="auto"/>
            <w:tcBorders>
              <w:top w:val="nil"/>
              <w:left w:val="single" w:sz="4" w:space="0" w:color="auto"/>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2,797</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1,398</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1,398</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5,594</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3,703</w:t>
            </w:r>
          </w:p>
        </w:tc>
        <w:tc>
          <w:tcPr>
            <w:tcW w:w="0" w:type="auto"/>
            <w:tcBorders>
              <w:top w:val="nil"/>
              <w:left w:val="nil"/>
              <w:bottom w:val="nil"/>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22,710</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37,600</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0</w:t>
            </w:r>
          </w:p>
        </w:tc>
        <w:tc>
          <w:tcPr>
            <w:tcW w:w="0" w:type="auto"/>
            <w:tcBorders>
              <w:top w:val="nil"/>
              <w:left w:val="nil"/>
              <w:bottom w:val="single" w:sz="4" w:space="0" w:color="auto"/>
              <w:right w:val="single" w:sz="4" w:space="0" w:color="auto"/>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12,093</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12,093</w:t>
            </w:r>
          </w:p>
        </w:tc>
      </w:tr>
      <w:tr w:rsidR="004B3405" w:rsidRPr="004B3405" w:rsidTr="004B3405">
        <w:trPr>
          <w:trHeight w:val="300"/>
        </w:trPr>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796,169</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933,122</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1,118,588</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2,432,123</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1,282,526</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3,373,997</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986,590</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10,923,115</w:t>
            </w:r>
          </w:p>
        </w:tc>
      </w:tr>
      <w:tr w:rsidR="004B3405" w:rsidRPr="004B3405" w:rsidTr="004B3405">
        <w:trPr>
          <w:trHeight w:val="300"/>
        </w:trPr>
        <w:tc>
          <w:tcPr>
            <w:tcW w:w="0" w:type="auto"/>
            <w:tcBorders>
              <w:top w:val="nil"/>
              <w:left w:val="nil"/>
              <w:bottom w:val="nil"/>
              <w:right w:val="nil"/>
            </w:tcBorders>
            <w:shd w:val="clear" w:color="auto" w:fill="auto"/>
            <w:noWrap/>
            <w:vAlign w:val="bottom"/>
            <w:hideMark/>
          </w:tcPr>
          <w:p w:rsidR="004B3405" w:rsidRPr="004B3405" w:rsidRDefault="004B3405" w:rsidP="004B3405">
            <w:pPr>
              <w:spacing w:after="0" w:line="240" w:lineRule="auto"/>
              <w:rPr>
                <w:rFonts w:ascii="Calibri" w:eastAsia="Times New Roman" w:hAnsi="Calibri" w:cs="Calibri"/>
                <w:color w:val="000000"/>
              </w:rPr>
            </w:pP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636,365</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766,294</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945,578</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2,243,156</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1,108,778</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3,163,169</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814,703</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9,678,043</w:t>
            </w:r>
          </w:p>
        </w:tc>
      </w:tr>
      <w:tr w:rsidR="004B3405" w:rsidRPr="004B3405" w:rsidTr="004B3405">
        <w:trPr>
          <w:trHeight w:val="300"/>
        </w:trPr>
        <w:tc>
          <w:tcPr>
            <w:tcW w:w="0" w:type="auto"/>
            <w:tcBorders>
              <w:top w:val="nil"/>
              <w:left w:val="nil"/>
              <w:bottom w:val="nil"/>
              <w:right w:val="nil"/>
            </w:tcBorders>
            <w:shd w:val="clear" w:color="auto" w:fill="auto"/>
            <w:noWrap/>
            <w:vAlign w:val="bottom"/>
            <w:hideMark/>
          </w:tcPr>
          <w:p w:rsidR="004B3405" w:rsidRPr="004B3405" w:rsidRDefault="004B3405" w:rsidP="004B3405">
            <w:pPr>
              <w:spacing w:after="0" w:line="240" w:lineRule="auto"/>
              <w:rPr>
                <w:rFonts w:ascii="Calibri" w:eastAsia="Times New Roman" w:hAnsi="Calibri" w:cs="Calibri"/>
                <w:color w:val="000000"/>
              </w:rPr>
            </w:pP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482,137</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604,257</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779,948</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2,054,230</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939,262</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2,957,793</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647,254</w:t>
            </w:r>
          </w:p>
        </w:tc>
        <w:tc>
          <w:tcPr>
            <w:tcW w:w="0" w:type="auto"/>
            <w:tcBorders>
              <w:top w:val="nil"/>
              <w:left w:val="nil"/>
              <w:bottom w:val="nil"/>
              <w:right w:val="nil"/>
            </w:tcBorders>
            <w:shd w:val="clear" w:color="auto" w:fill="auto"/>
            <w:noWrap/>
            <w:vAlign w:val="center"/>
            <w:hideMark/>
          </w:tcPr>
          <w:p w:rsidR="004B3405" w:rsidRPr="004B3405" w:rsidRDefault="004B3405" w:rsidP="004B3405">
            <w:pPr>
              <w:spacing w:after="0" w:line="240" w:lineRule="auto"/>
              <w:jc w:val="center"/>
              <w:rPr>
                <w:rFonts w:ascii="Calibri" w:eastAsia="Times New Roman" w:hAnsi="Calibri" w:cs="Calibri"/>
                <w:color w:val="000000"/>
              </w:rPr>
            </w:pPr>
            <w:r w:rsidRPr="004B3405">
              <w:rPr>
                <w:rFonts w:ascii="Calibri" w:eastAsia="Times New Roman" w:hAnsi="Calibri" w:cs="Calibri"/>
                <w:color w:val="000000"/>
              </w:rPr>
              <w:t>8,464,881</w:t>
            </w:r>
          </w:p>
        </w:tc>
      </w:tr>
    </w:tbl>
    <w:p w:rsidR="004B3405" w:rsidRDefault="004B3405" w:rsidP="0052008C">
      <w:pPr>
        <w:ind w:left="360"/>
      </w:pPr>
    </w:p>
    <w:p w:rsidR="003848DF" w:rsidRDefault="003848DF" w:rsidP="0052008C">
      <w:pPr>
        <w:ind w:left="360"/>
      </w:pPr>
      <w:r>
        <w:t>Next, we convert these counts along the diagonal into proportions by summing Upper, Predict, and Lower counts and dividing them by thei</w:t>
      </w:r>
      <w:r w:rsidR="006F53B6">
        <w:t xml:space="preserve">r row or column totals, </w:t>
      </w:r>
      <w:bookmarkStart w:id="0" w:name="_GoBack"/>
      <w:bookmarkEnd w:id="0"/>
      <w:r>
        <w:t xml:space="preserve">producing confidence limits on map accuracy (54.2% to 62.64%; </w:t>
      </w:r>
      <w:r>
        <w:rPr>
          <w:rFonts w:cstheme="minorHAnsi"/>
        </w:rPr>
        <w:t>α</w:t>
      </w:r>
      <w:r>
        <w:t xml:space="preserve"> = 0.05).</w:t>
      </w:r>
      <w:r w:rsidR="001144CB">
        <w:t xml:space="preserve"> Moreover we can apply this same strategy for individual cells within our error matrix to estimate misclassification error among class</w:t>
      </w:r>
      <w:r w:rsidR="00824377">
        <w:t>es</w:t>
      </w:r>
      <w:r w:rsidR="001144CB">
        <w:t xml:space="preserve"> with a predefined level of confidence. Note that user</w:t>
      </w:r>
      <w:r w:rsidR="00824377">
        <w:t xml:space="preserve"> accuracy with</w:t>
      </w:r>
      <w:r w:rsidR="001144CB">
        <w:t xml:space="preserve"> confidence</w:t>
      </w:r>
      <w:r w:rsidR="00824377">
        <w:t xml:space="preserve"> limits are</w:t>
      </w:r>
      <w:r w:rsidR="001144CB">
        <w:t xml:space="preserve"> already calculated within the attribute table of the CCCD raster surface. Produce error can be calculated with an upper and lower confidence limit by dividing cell counts by their column totals. For example, </w:t>
      </w:r>
      <w:r w:rsidR="00203C1F">
        <w:t>if we wanted to know producer accuracy for mapped class 11 and category 6, meaning when a given pixel is class 6 on the ground what is the probability that we mapped it as 11, we would divide 54,632 by 945,578, giving us a producer error of 5.78% (4.14% to 6.88%; 95% CI).</w:t>
      </w:r>
      <w:r w:rsidR="001144CB">
        <w:t xml:space="preserve"> </w:t>
      </w:r>
    </w:p>
    <w:p w:rsidR="00824377" w:rsidRDefault="00824377" w:rsidP="0052008C">
      <w:pPr>
        <w:ind w:left="360"/>
      </w:pPr>
      <w:r w:rsidRPr="00824377">
        <w:rPr>
          <w:b/>
        </w:rPr>
        <w:t>Exercise Questions</w:t>
      </w:r>
      <w:r>
        <w:t xml:space="preserve"> </w:t>
      </w:r>
      <w:hyperlink r:id="rId17" w:history="1">
        <w:r w:rsidRPr="00824377">
          <w:rPr>
            <w:rStyle w:val="Hyperlink"/>
          </w:rPr>
          <w:t>[Answers]</w:t>
        </w:r>
      </w:hyperlink>
    </w:p>
    <w:p w:rsidR="00824377" w:rsidRDefault="00824377" w:rsidP="00824377">
      <w:pPr>
        <w:pStyle w:val="ListParagraph"/>
        <w:numPr>
          <w:ilvl w:val="0"/>
          <w:numId w:val="3"/>
        </w:numPr>
      </w:pPr>
      <w:r>
        <w:t xml:space="preserve">Why is it important to produce </w:t>
      </w:r>
      <w:r w:rsidR="000A7979">
        <w:t>confidence intervals for map accuracy?</w:t>
      </w:r>
    </w:p>
    <w:p w:rsidR="00DB1E34" w:rsidRDefault="000A7979" w:rsidP="00824377">
      <w:pPr>
        <w:pStyle w:val="ListParagraph"/>
        <w:numPr>
          <w:ilvl w:val="0"/>
          <w:numId w:val="3"/>
        </w:numPr>
      </w:pPr>
      <w:r>
        <w:t>How would you interpret the user error between</w:t>
      </w:r>
      <w:r w:rsidR="00DB1E34">
        <w:t xml:space="preserve"> mapped class 12 and on the ground categories 5 and 14 (i.e., is there a difference between misclassification rates)?</w:t>
      </w:r>
    </w:p>
    <w:p w:rsidR="000A7979" w:rsidRDefault="00DB1E34" w:rsidP="00824377">
      <w:pPr>
        <w:pStyle w:val="ListParagraph"/>
        <w:numPr>
          <w:ilvl w:val="0"/>
          <w:numId w:val="3"/>
        </w:numPr>
      </w:pPr>
      <w:r>
        <w:t xml:space="preserve">How could confidence intervals be used to determine if mapped classes are different? </w:t>
      </w:r>
    </w:p>
    <w:sectPr w:rsidR="000A797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77A8" w:rsidRDefault="005F77A8" w:rsidP="00C317F0">
      <w:pPr>
        <w:spacing w:after="0" w:line="240" w:lineRule="auto"/>
      </w:pPr>
      <w:r>
        <w:separator/>
      </w:r>
    </w:p>
  </w:endnote>
  <w:endnote w:type="continuationSeparator" w:id="0">
    <w:p w:rsidR="005F77A8" w:rsidRDefault="005F77A8" w:rsidP="00C317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77A8" w:rsidRDefault="005F77A8" w:rsidP="00C317F0">
      <w:pPr>
        <w:spacing w:after="0" w:line="240" w:lineRule="auto"/>
      </w:pPr>
      <w:r>
        <w:separator/>
      </w:r>
    </w:p>
  </w:footnote>
  <w:footnote w:type="continuationSeparator" w:id="0">
    <w:p w:rsidR="005F77A8" w:rsidRDefault="005F77A8" w:rsidP="00C317F0">
      <w:pPr>
        <w:spacing w:after="0" w:line="240" w:lineRule="auto"/>
      </w:pPr>
      <w:r>
        <w:continuationSeparator/>
      </w:r>
    </w:p>
  </w:footnote>
  <w:footnote w:id="1">
    <w:p w:rsidR="005F77A8" w:rsidRDefault="005F77A8" w:rsidP="00C317F0">
      <w:pPr>
        <w:pStyle w:val="FootnoteText"/>
      </w:pPr>
      <w:r>
        <w:rPr>
          <w:rStyle w:val="FootnoteReference"/>
        </w:rPr>
        <w:footnoteRef/>
      </w:r>
      <w:r>
        <w:t xml:space="preserve"> You may also want to look at the original CLUST raster surface to see the distribution of each cluster. It is also located in the </w:t>
      </w:r>
      <w:proofErr w:type="spellStart"/>
      <w:r>
        <w:t>AccuracyAssessment</w:t>
      </w:r>
      <w:proofErr w:type="spellEnd"/>
      <w:r>
        <w:t xml:space="preserve"> field </w:t>
      </w:r>
      <w:proofErr w:type="spellStart"/>
      <w:r>
        <w:t>geodatabase</w:t>
      </w:r>
      <w:proofErr w:type="spellEnd"/>
      <w:r>
        <w:t>.</w:t>
      </w:r>
    </w:p>
  </w:footnote>
  <w:footnote w:id="2">
    <w:p w:rsidR="005F77A8" w:rsidRDefault="005F77A8" w:rsidP="00F26286">
      <w:pPr>
        <w:pStyle w:val="FootnoteText"/>
      </w:pPr>
      <w:r>
        <w:rPr>
          <w:rStyle w:val="FootnoteReference"/>
        </w:rPr>
        <w:footnoteRef/>
      </w:r>
      <w:r>
        <w:t xml:space="preserve"> If you ran additional Accuracy Assessments and renamed the output files then please navigate to </w:t>
      </w:r>
      <w:r w:rsidR="006F53B6">
        <w:t>that location</w:t>
      </w:r>
      <w:r>
        <w:t xml:space="preserve"> instead of the default location.</w:t>
      </w:r>
    </w:p>
  </w:footnote>
  <w:footnote w:id="3">
    <w:p w:rsidR="005F77A8" w:rsidRDefault="005F77A8">
      <w:pPr>
        <w:pStyle w:val="FootnoteText"/>
      </w:pPr>
      <w:r>
        <w:rPr>
          <w:rStyle w:val="FootnoteReference"/>
        </w:rPr>
        <w:footnoteRef/>
      </w:r>
      <w:r>
        <w:t xml:space="preserve"> Max rescaled r-square is interpreted as the amount of information gained from intercept alone model. Values range from 0-1. For a more thorough description please refer to SAS help.  </w:t>
      </w:r>
    </w:p>
  </w:footnote>
  <w:footnote w:id="4">
    <w:p w:rsidR="005F77A8" w:rsidRDefault="005F77A8" w:rsidP="001D0B56">
      <w:pPr>
        <w:pStyle w:val="FootnoteText"/>
      </w:pPr>
      <w:r>
        <w:rPr>
          <w:rStyle w:val="FootnoteReference"/>
        </w:rPr>
        <w:footnoteRef/>
      </w:r>
      <w:r>
        <w:t xml:space="preserve"> Odds are interpreted as the probability of a given class divided by the probability of a baseline category (in this </w:t>
      </w:r>
      <w:proofErr w:type="gramStart"/>
      <w:r>
        <w:t>example  the</w:t>
      </w:r>
      <w:proofErr w:type="gramEnd"/>
      <w:r>
        <w:t xml:space="preserve"> baseline category is 14).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5B527C0"/>
    <w:multiLevelType w:val="hybridMultilevel"/>
    <w:tmpl w:val="43A0DD6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B625B94"/>
    <w:multiLevelType w:val="hybridMultilevel"/>
    <w:tmpl w:val="F9D036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BA236E7"/>
    <w:multiLevelType w:val="hybridMultilevel"/>
    <w:tmpl w:val="0AFCBB4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0481"/>
    <w:rsid w:val="00044F08"/>
    <w:rsid w:val="000A7979"/>
    <w:rsid w:val="001144CB"/>
    <w:rsid w:val="001D0B56"/>
    <w:rsid w:val="00203C1F"/>
    <w:rsid w:val="00223C6C"/>
    <w:rsid w:val="003848DF"/>
    <w:rsid w:val="004B3405"/>
    <w:rsid w:val="0052008C"/>
    <w:rsid w:val="00530917"/>
    <w:rsid w:val="0059283E"/>
    <w:rsid w:val="005F77A8"/>
    <w:rsid w:val="006A34B1"/>
    <w:rsid w:val="006F53B6"/>
    <w:rsid w:val="00770BA5"/>
    <w:rsid w:val="00775D3F"/>
    <w:rsid w:val="00824377"/>
    <w:rsid w:val="008F5380"/>
    <w:rsid w:val="00960622"/>
    <w:rsid w:val="00A66365"/>
    <w:rsid w:val="00B712B3"/>
    <w:rsid w:val="00B776A4"/>
    <w:rsid w:val="00B83C5F"/>
    <w:rsid w:val="00C317F0"/>
    <w:rsid w:val="00C57524"/>
    <w:rsid w:val="00CB3F4B"/>
    <w:rsid w:val="00D30481"/>
    <w:rsid w:val="00D345D7"/>
    <w:rsid w:val="00D64B9F"/>
    <w:rsid w:val="00DB1E34"/>
    <w:rsid w:val="00EF7AA0"/>
    <w:rsid w:val="00F26286"/>
    <w:rsid w:val="00F37213"/>
    <w:rsid w:val="00F57777"/>
    <w:rsid w:val="00F60149"/>
    <w:rsid w:val="00F665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17F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C317F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317F0"/>
    <w:rPr>
      <w:sz w:val="20"/>
      <w:szCs w:val="20"/>
    </w:rPr>
  </w:style>
  <w:style w:type="character" w:styleId="FootnoteReference">
    <w:name w:val="footnote reference"/>
    <w:basedOn w:val="DefaultParagraphFont"/>
    <w:uiPriority w:val="99"/>
    <w:semiHidden/>
    <w:unhideWhenUsed/>
    <w:rsid w:val="00C317F0"/>
    <w:rPr>
      <w:vertAlign w:val="superscript"/>
    </w:rPr>
  </w:style>
  <w:style w:type="character" w:styleId="Hyperlink">
    <w:name w:val="Hyperlink"/>
    <w:basedOn w:val="DefaultParagraphFont"/>
    <w:uiPriority w:val="99"/>
    <w:unhideWhenUsed/>
    <w:rsid w:val="00C317F0"/>
    <w:rPr>
      <w:color w:val="0000FF" w:themeColor="hyperlink"/>
      <w:u w:val="single"/>
    </w:rPr>
  </w:style>
  <w:style w:type="paragraph" w:styleId="BalloonText">
    <w:name w:val="Balloon Text"/>
    <w:basedOn w:val="Normal"/>
    <w:link w:val="BalloonTextChar"/>
    <w:uiPriority w:val="99"/>
    <w:semiHidden/>
    <w:unhideWhenUsed/>
    <w:rsid w:val="00F2628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26286"/>
    <w:rPr>
      <w:rFonts w:ascii="Tahoma" w:hAnsi="Tahoma" w:cs="Tahoma"/>
      <w:sz w:val="16"/>
      <w:szCs w:val="16"/>
    </w:rPr>
  </w:style>
  <w:style w:type="paragraph" w:styleId="ListParagraph">
    <w:name w:val="List Paragraph"/>
    <w:basedOn w:val="Normal"/>
    <w:uiPriority w:val="34"/>
    <w:qFormat/>
    <w:rsid w:val="00D64B9F"/>
    <w:pPr>
      <w:ind w:left="720"/>
      <w:contextualSpacing/>
    </w:pPr>
  </w:style>
  <w:style w:type="character" w:styleId="PlaceholderText">
    <w:name w:val="Placeholder Text"/>
    <w:basedOn w:val="DefaultParagraphFont"/>
    <w:uiPriority w:val="99"/>
    <w:semiHidden/>
    <w:rsid w:val="00D64B9F"/>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17F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C317F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317F0"/>
    <w:rPr>
      <w:sz w:val="20"/>
      <w:szCs w:val="20"/>
    </w:rPr>
  </w:style>
  <w:style w:type="character" w:styleId="FootnoteReference">
    <w:name w:val="footnote reference"/>
    <w:basedOn w:val="DefaultParagraphFont"/>
    <w:uiPriority w:val="99"/>
    <w:semiHidden/>
    <w:unhideWhenUsed/>
    <w:rsid w:val="00C317F0"/>
    <w:rPr>
      <w:vertAlign w:val="superscript"/>
    </w:rPr>
  </w:style>
  <w:style w:type="character" w:styleId="Hyperlink">
    <w:name w:val="Hyperlink"/>
    <w:basedOn w:val="DefaultParagraphFont"/>
    <w:uiPriority w:val="99"/>
    <w:unhideWhenUsed/>
    <w:rsid w:val="00C317F0"/>
    <w:rPr>
      <w:color w:val="0000FF" w:themeColor="hyperlink"/>
      <w:u w:val="single"/>
    </w:rPr>
  </w:style>
  <w:style w:type="paragraph" w:styleId="BalloonText">
    <w:name w:val="Balloon Text"/>
    <w:basedOn w:val="Normal"/>
    <w:link w:val="BalloonTextChar"/>
    <w:uiPriority w:val="99"/>
    <w:semiHidden/>
    <w:unhideWhenUsed/>
    <w:rsid w:val="00F2628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26286"/>
    <w:rPr>
      <w:rFonts w:ascii="Tahoma" w:hAnsi="Tahoma" w:cs="Tahoma"/>
      <w:sz w:val="16"/>
      <w:szCs w:val="16"/>
    </w:rPr>
  </w:style>
  <w:style w:type="paragraph" w:styleId="ListParagraph">
    <w:name w:val="List Paragraph"/>
    <w:basedOn w:val="Normal"/>
    <w:uiPriority w:val="34"/>
    <w:qFormat/>
    <w:rsid w:val="00D64B9F"/>
    <w:pPr>
      <w:ind w:left="720"/>
      <w:contextualSpacing/>
    </w:pPr>
  </w:style>
  <w:style w:type="character" w:styleId="PlaceholderText">
    <w:name w:val="Placeholder Text"/>
    <w:basedOn w:val="DefaultParagraphFont"/>
    <w:uiPriority w:val="99"/>
    <w:semiHidden/>
    <w:rsid w:val="00D64B9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46549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yperlink" Target="http://www.fs.fed.us/rm/raster-utility/" TargetMode="Externa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hyperlink" Target="AccuracyAssessment.mxd" TargetMode="Externa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exercise3.docx" TargetMode="Externa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FE40ED-CC68-4936-91C1-C164751695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631</TotalTime>
  <Pages>6</Pages>
  <Words>1432</Words>
  <Characters>8167</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University of Montana</Company>
  <LinksUpToDate>false</LinksUpToDate>
  <CharactersWithSpaces>9580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jshogland</dc:creator>
  <cp:keywords/>
  <dc:description/>
  <cp:lastModifiedBy>jshogland</cp:lastModifiedBy>
  <cp:revision>4</cp:revision>
  <dcterms:created xsi:type="dcterms:W3CDTF">2012-06-01T15:45:00Z</dcterms:created>
  <dcterms:modified xsi:type="dcterms:W3CDTF">2012-06-25T17:51:00Z</dcterms:modified>
</cp:coreProperties>
</file>